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 3</w:t>
      </w:r>
      <w:r>
        <w:rPr>
          <w:rFonts w:ascii="XO Thames" w:hAnsi="XO Thames"/>
          <w:sz w:val="26"/>
        </w:rPr>
        <w:t xml:space="preserve">0.09.2025 </w:t>
      </w:r>
      <w:r>
        <w:rPr>
          <w:rFonts w:ascii="XO Thames" w:hAnsi="XO Thames"/>
          <w:sz w:val="26"/>
        </w:rPr>
        <w:t xml:space="preserve">с начала года в КУ НАО «Центр занятости населения» (далее – Центр занятости) обратились за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highlight w:val="white"/>
        </w:rPr>
        <w:t>мерами государственной поддержки в сфере занятости  населения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2485</w:t>
      </w:r>
      <w:r>
        <w:rPr>
          <w:rFonts w:ascii="XO Thames" w:hAnsi="XO Thames"/>
          <w:sz w:val="26"/>
        </w:rPr>
        <w:t xml:space="preserve"> человек, в том числе за содействием в поиске работы – </w:t>
      </w:r>
      <w:r>
        <w:rPr>
          <w:rFonts w:ascii="XO Thames" w:hAnsi="XO Thames"/>
          <w:sz w:val="26"/>
        </w:rPr>
        <w:t>826</w:t>
      </w:r>
      <w:r>
        <w:rPr>
          <w:rFonts w:ascii="XO Thames" w:hAnsi="XO Thames"/>
          <w:sz w:val="26"/>
        </w:rPr>
        <w:t xml:space="preserve"> человек (</w:t>
      </w:r>
      <w:r>
        <w:rPr>
          <w:rFonts w:ascii="XO Thames" w:hAnsi="XO Thames"/>
          <w:sz w:val="26"/>
        </w:rPr>
        <w:t>655</w:t>
      </w:r>
      <w:r>
        <w:rPr>
          <w:rFonts w:ascii="XO Thames" w:hAnsi="XO Thames"/>
          <w:sz w:val="26"/>
        </w:rPr>
        <w:t xml:space="preserve"> человек – незанятые граждане). За аналогичный период прошлого года с 01.01.2024 – 3</w:t>
      </w:r>
      <w:r>
        <w:rPr>
          <w:rFonts w:ascii="XO Thames" w:hAnsi="XO Thames"/>
          <w:sz w:val="26"/>
        </w:rPr>
        <w:t>0.09.</w:t>
      </w:r>
      <w:r>
        <w:rPr>
          <w:rFonts w:ascii="XO Thames" w:hAnsi="XO Thames"/>
          <w:sz w:val="26"/>
        </w:rPr>
        <w:t>2024 (далее – АППГ) обратились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предоставлением государственных услуг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highlight w:val="white"/>
        </w:rPr>
        <w:t>в сфере занятости  населения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pacing w:val="0"/>
          <w:sz w:val="26"/>
        </w:rPr>
        <w:t xml:space="preserve">4113 </w:t>
      </w:r>
      <w:r>
        <w:rPr>
          <w:rFonts w:ascii="XO Thames" w:hAnsi="XO Thames"/>
          <w:sz w:val="26"/>
        </w:rPr>
        <w:t>человек, в том числе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содействием в поиске работы – </w:t>
      </w:r>
      <w:r>
        <w:rPr>
          <w:rFonts w:ascii="XO Thames" w:hAnsi="XO Thames"/>
          <w:sz w:val="26"/>
        </w:rPr>
        <w:t>769</w:t>
      </w:r>
      <w:r>
        <w:rPr>
          <w:rFonts w:ascii="XO Thames" w:hAnsi="XO Thames"/>
          <w:sz w:val="26"/>
        </w:rPr>
        <w:t xml:space="preserve"> человек (</w:t>
      </w:r>
      <w:r>
        <w:rPr>
          <w:rFonts w:ascii="XO Thames" w:hAnsi="XO Thames"/>
          <w:sz w:val="26"/>
        </w:rPr>
        <w:t>634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– незанятые граждане).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30.09.2025 в Центре занятости численность зарегистрированных безработных граждан составила 142 человека (на АППГ – 125 человек).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 xml:space="preserve">30.09.2025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заявленная работодателями потребность в работниках составила</w:t>
      </w:r>
      <w:r>
        <w:rPr>
          <w:rFonts w:eastAsia="Times New Roman"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618 вакантных должностей (единиц) (на АППГ</w:t>
      </w:r>
      <w:bookmarkStart w:id="0" w:name="_Hlk123204280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– </w:t>
      </w:r>
      <w:bookmarkEnd w:id="0"/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584 вакантных должности (единицы)).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начала 2025 года 34 организации предоставили сведения о предполагаемом высвобождении 496 работников в связи с сокращением численности или штата сотрудников. Из работников, уволенных в 2024-2025 годах в связи </w:t>
        <w:br/>
        <w:t>с высвобождением, в КУ НАО «Центр занятости населения» обратилось с начала 2025 года 67 человек, из них с 1 января 2025 года по 30 сентября 2025 года признано безработными 49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сравнения, с начала 2024 года 28 организаций предоставили сведения </w:t>
        <w:br/>
        <w:t xml:space="preserve">о предполагаемом высвобождении 164 работника в связи с сокращением численности или штата сотрудников. Из работников, уволенных в 2023-2024 годах в связи с высвобождением обратились в Центр занятости с начала 2024 года </w:t>
        <w:br/>
        <w:t>39 человек, из них с 01.01.2024 по 30.09.2024 признаны безработными 14 человек.</w:t>
      </w:r>
    </w:p>
    <w:p>
      <w:pPr>
        <w:pStyle w:val="Normal"/>
        <w:spacing w:lineRule="auto" w:line="240" w:before="113" w:after="113"/>
        <w:ind w:hanging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2146"/>
        <w:gridCol w:w="2129"/>
      </w:tblGrid>
      <w:tr>
        <w:trPr>
          <w:trHeight w:val="802" w:hRule="atLeast"/>
        </w:trPr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w="2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01.01.2025 – 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3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0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.0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9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.2025, чел.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01.01.2024 – 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 xml:space="preserve"> 3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0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.0</w:t>
            </w:r>
            <w:r>
              <w:rPr>
                <w:rFonts w:ascii="XO Thames" w:hAnsi="XO Thames"/>
                <w:kern w:val="0"/>
                <w:sz w:val="26"/>
                <w:szCs w:val="20"/>
              </w:rPr>
              <w:t>9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.2024, чел.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в поиске подходящей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826</w:t>
            </w:r>
          </w:p>
        </w:tc>
        <w:tc>
          <w:tcPr>
            <w:tcW w:w="2129" w:type="dxa"/>
            <w:tcBorders/>
          </w:tcPr>
          <w:p>
            <w:pPr>
              <w:pStyle w:val="Normal"/>
              <w:tabs>
                <w:tab w:val="clear" w:pos="708"/>
                <w:tab w:val="left" w:pos="689" w:leader="none"/>
                <w:tab w:val="center" w:pos="884" w:leader="none"/>
              </w:tabs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769</w:t>
            </w:r>
          </w:p>
        </w:tc>
      </w:tr>
      <w:tr>
        <w:trPr>
          <w:trHeight w:val="511" w:hRule="atLeast"/>
        </w:trPr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Информация о положении на рынке труда 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826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гражданам и 51 работодателю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769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гражданам и 102 работодателям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самозанятости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6 (6 чел. открыли свое дело)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(1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 чел. открыли свое дело)</w:t>
            </w:r>
          </w:p>
        </w:tc>
      </w:tr>
      <w:tr>
        <w:trPr>
          <w:trHeight w:val="328" w:hRule="atLeast"/>
        </w:trPr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Общественные работы 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83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72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Социальная адаптация на рынке труда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56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1005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1004</w:t>
            </w:r>
          </w:p>
        </w:tc>
      </w:tr>
      <w:tr>
        <w:trPr>
          <w:trHeight w:val="411" w:hRule="atLeast"/>
        </w:trPr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Профессиональная ориентация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24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/>
          </w:tcPr>
          <w:p>
            <w:pPr>
              <w:pStyle w:val="Normal"/>
              <w:tabs>
                <w:tab w:val="clear" w:pos="708"/>
                <w:tab w:val="left" w:pos="747" w:leader="none"/>
                <w:tab w:val="center" w:pos="884" w:leader="none"/>
              </w:tabs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611</w:t>
            </w:r>
          </w:p>
        </w:tc>
      </w:tr>
      <w:tr>
        <w:trPr/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Психологическая поддержка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53</w:t>
            </w:r>
          </w:p>
        </w:tc>
      </w:tr>
      <w:tr>
        <w:trPr>
          <w:trHeight w:val="612" w:hRule="atLeast"/>
        </w:trPr>
        <w:tc>
          <w:tcPr>
            <w:tcW w:w="50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77</w:t>
            </w:r>
          </w:p>
        </w:tc>
      </w:tr>
    </w:tbl>
    <w:p>
      <w:pPr>
        <w:pStyle w:val="Normal"/>
        <w:spacing w:lineRule="auto" w:line="240" w:before="113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  <w:br/>
        <w:t xml:space="preserve">с начала 2025 года составила </w:t>
      </w:r>
      <w:r>
        <w:rPr>
          <w:rFonts w:ascii="XO Thames" w:hAnsi="XO Thames"/>
          <w:sz w:val="26"/>
        </w:rPr>
        <w:t>428</w:t>
      </w:r>
      <w:r>
        <w:rPr>
          <w:rFonts w:ascii="XO Thames" w:hAnsi="XO Thames"/>
          <w:sz w:val="26"/>
        </w:rPr>
        <w:t xml:space="preserve"> человек (на АППГ – 4</w:t>
      </w:r>
      <w:r>
        <w:rPr>
          <w:rFonts w:ascii="XO Thames" w:hAnsi="XO Thames"/>
          <w:sz w:val="26"/>
        </w:rPr>
        <w:t>73</w:t>
      </w:r>
      <w:r>
        <w:rPr>
          <w:rFonts w:ascii="XO Thames" w:hAnsi="XO Thames"/>
          <w:sz w:val="26"/>
        </w:rPr>
        <w:t xml:space="preserve"> человека), из них в связи </w:t>
        <w:br/>
        <w:t>с трудоустройством 1</w:t>
      </w:r>
      <w:r>
        <w:rPr>
          <w:rFonts w:ascii="XO Thames" w:hAnsi="XO Thames"/>
          <w:sz w:val="26"/>
        </w:rPr>
        <w:t>73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(на АППГ – 1</w:t>
      </w:r>
      <w:r>
        <w:rPr>
          <w:rFonts w:ascii="XO Thames" w:hAnsi="XO Thames"/>
          <w:sz w:val="26"/>
        </w:rPr>
        <w:t>93</w:t>
      </w:r>
      <w:r>
        <w:rPr>
          <w:rFonts w:ascii="XO Thames" w:hAnsi="XO Thames"/>
          <w:sz w:val="26"/>
        </w:rPr>
        <w:t xml:space="preserve"> человека),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по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направлению Центра занятости 40 человек (на АППГ – 6</w:t>
      </w:r>
      <w:r>
        <w:rPr>
          <w:rFonts w:ascii="XO Thames" w:hAnsi="XO Thames"/>
          <w:sz w:val="26"/>
        </w:rPr>
        <w:t>9</w:t>
      </w:r>
      <w:r>
        <w:rPr>
          <w:rFonts w:ascii="XO Thames" w:hAnsi="XO Thames"/>
          <w:sz w:val="26"/>
        </w:rPr>
        <w:t xml:space="preserve"> человек).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  <w:br/>
        <w:t>на 3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.0</w:t>
      </w:r>
      <w:r>
        <w:rPr>
          <w:rFonts w:ascii="XO Thames" w:hAnsi="XO Thames"/>
          <w:sz w:val="26"/>
        </w:rPr>
        <w:t>9</w:t>
      </w:r>
      <w:r>
        <w:rPr>
          <w:rFonts w:ascii="XO Thames" w:hAnsi="XO Thames"/>
          <w:sz w:val="26"/>
        </w:rPr>
        <w:t>.2025 составил 0,6% (на АППГ – 0,5%).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  <w:br/>
        <w:t>на 3</w:t>
      </w:r>
      <w:r>
        <w:rPr>
          <w:rFonts w:ascii="XO Thames" w:hAnsi="XO Thames"/>
          <w:sz w:val="26"/>
        </w:rPr>
        <w:t>0.09</w:t>
      </w:r>
      <w:r>
        <w:rPr>
          <w:rFonts w:ascii="XO Thames" w:hAnsi="XO Thames"/>
          <w:sz w:val="26"/>
        </w:rPr>
        <w:t>.2025 составил 0,3 человека на одну вакансию (на АППГ – 0,3 человека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5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sz w:val="18"/>
        <w:rFonts w:ascii="Times New Roman" w:hAnsi="Times New Roman"/>
      </w:rPr>
      <w:instrText xml:space="preserve"> PAGE </w:instrText>
    </w:r>
    <w:r>
      <w:rPr>
        <w:sz w:val="18"/>
        <w:rFonts w:ascii="Times New Roman" w:hAnsi="Times New Roman"/>
      </w:rPr>
      <w:fldChar w:fldCharType="separate"/>
    </w:r>
    <w:r>
      <w:rPr>
        <w:sz w:val="18"/>
        <w:rFonts w:ascii="Times New Roman" w:hAnsi="Times New Roman"/>
      </w:rPr>
      <w:t>2</w:t>
    </w:r>
    <w:r>
      <w:rPr>
        <w:sz w:val="1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2"/>
    <w:qFormat/>
    <w:rPr>
      <w:rFonts w:ascii="XO Thames" w:hAnsi="XO Thames"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Annotationsubject1">
    <w:name w:val="annotation subject1"/>
    <w:basedOn w:val="Annotationtext1"/>
    <w:link w:val="Annotationsubject11"/>
    <w:qFormat/>
    <w:rPr>
      <w:b/>
    </w:rPr>
  </w:style>
  <w:style w:type="character" w:styleId="Style10">
    <w:name w:val="Заголовок"/>
    <w:link w:val="1"/>
    <w:qFormat/>
    <w:rPr>
      <w:rFonts w:ascii="PT Astra Serif" w:hAnsi="PT Astra Serif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basedOn w:val="DefaultParagraphFont1"/>
    <w:link w:val="Internetlink1"/>
    <w:qFormat/>
    <w:rPr>
      <w:color w:val="0000FF"/>
      <w:u w:val="single"/>
    </w:rPr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Annotationtext1">
    <w:name w:val="annotation text1"/>
    <w:link w:val="Annotationtext11"/>
    <w:qFormat/>
    <w:rPr>
      <w:sz w:val="20"/>
    </w:rPr>
  </w:style>
  <w:style w:type="character" w:styleId="Textbody">
    <w:name w:val="Text body"/>
    <w:qFormat/>
    <w:rPr/>
  </w:style>
  <w:style w:type="character" w:styleId="ListParagraph1">
    <w:name w:val="List Paragraph1"/>
    <w:link w:val="ListParagraph11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er1">
    <w:name w:val="Header1"/>
    <w:link w:val="Header11"/>
    <w:qFormat/>
    <w:rPr/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Annotationreference1">
    <w:name w:val="annotation reference1"/>
    <w:basedOn w:val="DefaultParagraphFont1"/>
    <w:link w:val="Annotationreference11"/>
    <w:qFormat/>
    <w:rPr>
      <w:sz w:val="16"/>
    </w:rPr>
  </w:style>
  <w:style w:type="character" w:styleId="Footer2">
    <w:name w:val="Footer2"/>
    <w:qFormat/>
    <w:rPr/>
  </w:style>
  <w:style w:type="character" w:styleId="Style11">
    <w:name w:val="Указатель"/>
    <w:link w:val="11"/>
    <w:qFormat/>
    <w:rPr>
      <w:rFonts w:ascii="PT Astra Serif" w:hAnsi="PT Astra Serif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Header2">
    <w:name w:val="Header2"/>
    <w:qFormat/>
    <w:rPr/>
  </w:style>
  <w:style w:type="paragraph" w:styleId="1">
    <w:name w:val="Заголовок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link w:val="Style11"/>
    <w:qFormat/>
    <w:pPr/>
    <w:rPr>
      <w:rFonts w:ascii="PT Astra Serif" w:hAnsi="PT Astra Serif"/>
    </w:rPr>
  </w:style>
  <w:style w:type="paragraph" w:styleId="Contents22">
    <w:name w:val="Contents 22"/>
    <w:link w:val="Contents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subject11">
    <w:name w:val="annotation subject11"/>
    <w:basedOn w:val="Annotationtext11"/>
    <w:next w:val="Annotationtext11"/>
    <w:link w:val="Annotationsubject1"/>
    <w:qFormat/>
    <w:pPr/>
    <w:rPr>
      <w:b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basedOn w:val="DefaultParagraphFont11"/>
    <w:link w:val="Internetlink"/>
    <w:qFormat/>
    <w:pPr/>
    <w:rPr>
      <w:color w:val="0000FF"/>
      <w:u w:val="single"/>
    </w:rPr>
  </w:style>
  <w:style w:type="paragraph" w:styleId="Internetlink2">
    <w:name w:val="Internet link2"/>
    <w:basedOn w:val="DefaultParagraphFont11"/>
    <w:qFormat/>
    <w:pPr/>
    <w:rPr>
      <w:color w:val="0000FF"/>
      <w:u w:val="single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text11">
    <w:name w:val="annotation text11"/>
    <w:basedOn w:val="Normal"/>
    <w:link w:val="Annotationtext1"/>
    <w:qFormat/>
    <w:pPr>
      <w:spacing w:lineRule="auto" w:line="240"/>
    </w:pPr>
    <w:rPr>
      <w:sz w:val="20"/>
    </w:rPr>
  </w:style>
  <w:style w:type="paragraph" w:styleId="ListParagraph11">
    <w:name w:val="List Paragraph11"/>
    <w:basedOn w:val="Normal"/>
    <w:link w:val="ListParagraph1"/>
    <w:qFormat/>
    <w:pPr>
      <w:spacing w:before="0" w:after="160"/>
      <w:ind w:left="720"/>
      <w:contextualSpacing/>
    </w:pPr>
    <w:rPr/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ontents82">
    <w:name w:val="Contents 8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reference11">
    <w:name w:val="annotation reference11"/>
    <w:basedOn w:val="DefaultParagraphFont11"/>
    <w:link w:val="Annotationreference1"/>
    <w:qFormat/>
    <w:pPr/>
    <w:rPr>
      <w:sz w:val="1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table" w:styleId="Style_3">
    <w:name w:val="Table Grid"/>
    <w:basedOn w:val="Style_59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2</Pages>
  <Words>432</Words>
  <Characters>2727</Characters>
  <CharactersWithSpaces>3143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2025-10-07T09:48:13Z</dcterms:modified>
  <cp:revision>1</cp:revision>
  <dc:subject/>
  <dc:title/>
</cp:coreProperties>
</file>