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6.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footer6.xml" ContentType="application/vnd.openxmlformats-officedocument.wordprocessingml.footer+xml"/>
  <Override PartName="/word/header5.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5.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numPr>
          <w:ilvl w:val="0"/>
          <w:numId w:val="0"/>
        </w:numPr>
        <w:bidi w:val="0"/>
        <w:ind w:hanging="0" w:start="0" w:end="-2"/>
        <w:jc w:val="center"/>
        <w:outlineLvl w:val="0"/>
        <w:rPr>
          <w:rFonts w:ascii="XO Thames" w:hAnsi="XO Thames"/>
          <w:b/>
          <w:sz w:val="28"/>
        </w:rPr>
      </w:pPr>
      <w:r>
        <w:rPr/>
        <w:drawing>
          <wp:inline distT="0" distB="0" distL="0" distR="0">
            <wp:extent cx="609600" cy="762000"/>
            <wp:effectExtent l="0" t="0" r="0" b="0"/>
            <wp:docPr id="1" name="Picture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title=""/>
                    <pic:cNvPicPr>
                      <a:picLocks noChangeAspect="1" noChangeArrowheads="1"/>
                    </pic:cNvPicPr>
                  </pic:nvPicPr>
                  <pic:blipFill>
                    <a:blip r:embed="rId2"/>
                    <a:stretch>
                      <a:fillRect/>
                    </a:stretch>
                  </pic:blipFill>
                  <pic:spPr bwMode="auto">
                    <a:xfrm>
                      <a:off x="0" y="0"/>
                      <a:ext cx="609600" cy="762000"/>
                    </a:xfrm>
                    <a:prstGeom prst="rect">
                      <a:avLst/>
                    </a:prstGeom>
                    <a:noFill/>
                  </pic:spPr>
                </pic:pic>
              </a:graphicData>
            </a:graphic>
          </wp:inline>
        </w:drawing>
      </w:r>
    </w:p>
    <w:p>
      <w:pPr>
        <w:pStyle w:val="Normal"/>
        <w:widowControl/>
        <w:bidi w:val="0"/>
        <w:ind w:hanging="0" w:start="0" w:end="-2"/>
        <w:jc w:val="center"/>
        <w:rPr>
          <w:rFonts w:ascii="XO Thames" w:hAnsi="XO Thames"/>
          <w:sz w:val="28"/>
        </w:rPr>
      </w:pPr>
      <w:r>
        <w:rPr>
          <w:rFonts w:ascii="XO Thames" w:hAnsi="XO Thames"/>
          <w:sz w:val="28"/>
        </w:rPr>
      </w:r>
    </w:p>
    <w:p>
      <w:pPr>
        <w:pStyle w:val="Title"/>
        <w:widowControl/>
        <w:bidi w:val="0"/>
        <w:spacing w:lineRule="auto" w:line="240"/>
        <w:jc w:val="center"/>
        <w:rPr>
          <w:sz w:val="28"/>
          <w:szCs w:val="28"/>
        </w:rPr>
      </w:pPr>
      <w:r>
        <w:rPr>
          <w:rFonts w:ascii="XO Thames" w:hAnsi="XO Thames"/>
          <w:sz w:val="28"/>
          <w:szCs w:val="28"/>
        </w:rPr>
        <w:t xml:space="preserve">Департамент труда </w:t>
      </w:r>
    </w:p>
    <w:p>
      <w:pPr>
        <w:pStyle w:val="Title"/>
        <w:widowControl/>
        <w:bidi w:val="0"/>
        <w:spacing w:lineRule="auto" w:line="240"/>
        <w:jc w:val="center"/>
        <w:rPr>
          <w:sz w:val="28"/>
          <w:szCs w:val="28"/>
        </w:rPr>
      </w:pPr>
      <w:r>
        <w:rPr>
          <w:rFonts w:ascii="XO Thames" w:hAnsi="XO Thames"/>
          <w:sz w:val="28"/>
          <w:szCs w:val="28"/>
        </w:rPr>
        <w:t>и социальной</w:t>
      </w:r>
      <w:r>
        <w:rPr>
          <w:rFonts w:ascii="XO Thames" w:hAnsi="XO Thames"/>
          <w:b/>
          <w:sz w:val="28"/>
          <w:szCs w:val="28"/>
        </w:rPr>
        <w:t xml:space="preserve"> защиты населения</w:t>
      </w:r>
    </w:p>
    <w:p>
      <w:pPr>
        <w:pStyle w:val="Normal"/>
        <w:widowControl/>
        <w:numPr>
          <w:ilvl w:val="0"/>
          <w:numId w:val="0"/>
        </w:numPr>
        <w:bidi w:val="0"/>
        <w:ind w:hanging="0" w:start="0" w:end="-2"/>
        <w:jc w:val="center"/>
        <w:outlineLvl w:val="3"/>
        <w:rPr>
          <w:sz w:val="28"/>
          <w:szCs w:val="28"/>
        </w:rPr>
      </w:pPr>
      <w:r>
        <w:rPr>
          <w:rFonts w:ascii="XO Thames" w:hAnsi="XO Thames"/>
          <w:b/>
          <w:sz w:val="28"/>
          <w:szCs w:val="28"/>
        </w:rPr>
        <w:t>Ненецкого автономного округа</w:t>
      </w:r>
    </w:p>
    <w:p>
      <w:pPr>
        <w:pStyle w:val="Normal"/>
        <w:widowControl/>
        <w:numPr>
          <w:ilvl w:val="0"/>
          <w:numId w:val="0"/>
        </w:numPr>
        <w:bidi w:val="0"/>
        <w:ind w:hanging="0" w:start="0" w:end="-2"/>
        <w:jc w:val="center"/>
        <w:outlineLvl w:val="3"/>
        <w:rPr>
          <w:rFonts w:ascii="XO Thames" w:hAnsi="XO Thames"/>
          <w:sz w:val="28"/>
          <w:szCs w:val="28"/>
        </w:rPr>
      </w:pPr>
      <w:r>
        <w:rPr>
          <w:rFonts w:ascii="XO Thames" w:hAnsi="XO Thames"/>
          <w:sz w:val="28"/>
          <w:szCs w:val="28"/>
        </w:rPr>
      </w:r>
    </w:p>
    <w:p>
      <w:pPr>
        <w:pStyle w:val="Normal"/>
        <w:widowControl/>
        <w:numPr>
          <w:ilvl w:val="0"/>
          <w:numId w:val="0"/>
        </w:numPr>
        <w:bidi w:val="0"/>
        <w:ind w:hanging="0" w:start="0" w:end="-2"/>
        <w:jc w:val="center"/>
        <w:outlineLvl w:val="3"/>
        <w:rPr>
          <w:sz w:val="28"/>
          <w:szCs w:val="28"/>
        </w:rPr>
      </w:pPr>
      <w:r>
        <w:rPr>
          <w:rFonts w:ascii="XO Thames" w:hAnsi="XO Thames"/>
          <w:b/>
          <w:sz w:val="28"/>
          <w:szCs w:val="28"/>
        </w:rPr>
        <w:t>ПРИКАЗ</w:t>
      </w:r>
    </w:p>
    <w:p>
      <w:pPr>
        <w:pStyle w:val="Normal"/>
        <w:widowControl/>
        <w:bidi w:val="0"/>
        <w:ind w:hanging="0" w:start="0" w:end="-2"/>
        <w:jc w:val="center"/>
        <w:rPr>
          <w:rFonts w:ascii="XO Thames" w:hAnsi="XO Thames"/>
          <w:sz w:val="28"/>
          <w:szCs w:val="28"/>
        </w:rPr>
      </w:pPr>
      <w:r>
        <w:rPr>
          <w:rFonts w:ascii="XO Thames" w:hAnsi="XO Thames"/>
          <w:sz w:val="28"/>
          <w:szCs w:val="28"/>
        </w:rPr>
      </w:r>
    </w:p>
    <w:p>
      <w:pPr>
        <w:pStyle w:val="Normal"/>
        <w:widowControl/>
        <w:bidi w:val="0"/>
        <w:ind w:hanging="0" w:start="0" w:end="-2"/>
        <w:jc w:val="center"/>
        <w:rPr>
          <w:rFonts w:ascii="XO Thames" w:hAnsi="XO Thames"/>
          <w:sz w:val="28"/>
          <w:szCs w:val="28"/>
        </w:rPr>
      </w:pPr>
      <w:r>
        <w:rPr>
          <w:rFonts w:ascii="XO Thames" w:hAnsi="XO Thames"/>
          <w:sz w:val="28"/>
          <w:szCs w:val="28"/>
        </w:rPr>
      </w:r>
    </w:p>
    <w:p>
      <w:pPr>
        <w:pStyle w:val="Normal"/>
        <w:widowControl/>
        <w:bidi w:val="0"/>
        <w:ind w:hanging="0" w:start="0" w:end="-2"/>
        <w:jc w:val="center"/>
        <w:rPr>
          <w:sz w:val="28"/>
          <w:szCs w:val="28"/>
        </w:rPr>
      </w:pPr>
      <w:r>
        <w:rPr>
          <w:rFonts w:ascii="XO Thames" w:hAnsi="XO Thames"/>
          <w:sz w:val="28"/>
          <w:szCs w:val="28"/>
        </w:rPr>
        <w:t>от ________ 2026 г. № __</w:t>
      </w:r>
    </w:p>
    <w:p>
      <w:pPr>
        <w:pStyle w:val="Normal"/>
        <w:widowControl/>
        <w:bidi w:val="0"/>
        <w:ind w:hanging="0" w:start="0" w:end="-2"/>
        <w:jc w:val="center"/>
        <w:rPr>
          <w:sz w:val="28"/>
          <w:szCs w:val="28"/>
        </w:rPr>
      </w:pPr>
      <w:r>
        <w:rPr>
          <w:rFonts w:ascii="XO Thames" w:hAnsi="XO Thames"/>
          <w:sz w:val="28"/>
          <w:szCs w:val="28"/>
        </w:rPr>
        <w:t>г. Нарьян-Мар</w:t>
      </w:r>
    </w:p>
    <w:p>
      <w:pPr>
        <w:pStyle w:val="Normal"/>
        <w:widowControl/>
        <w:bidi w:val="0"/>
        <w:ind w:hanging="0" w:start="0" w:end="-2"/>
        <w:jc w:val="center"/>
        <w:rPr>
          <w:rFonts w:ascii="XO Thames" w:hAnsi="XO Thames"/>
          <w:sz w:val="28"/>
          <w:szCs w:val="28"/>
        </w:rPr>
      </w:pPr>
      <w:r>
        <w:rPr>
          <w:rFonts w:ascii="XO Thames" w:hAnsi="XO Thames"/>
          <w:sz w:val="28"/>
          <w:szCs w:val="28"/>
        </w:rPr>
      </w:r>
    </w:p>
    <w:tbl>
      <w:tblPr>
        <w:tblStyle w:val="Style_4"/>
        <w:tblW w:w="11490" w:type="dxa"/>
        <w:jc w:val="start"/>
        <w:tblInd w:w="-894" w:type="dxa"/>
        <w:tblLayout w:type="fixed"/>
        <w:tblCellMar>
          <w:top w:w="0" w:type="dxa"/>
          <w:start w:w="108" w:type="dxa"/>
          <w:bottom w:w="0" w:type="dxa"/>
          <w:end w:w="108" w:type="dxa"/>
        </w:tblCellMar>
      </w:tblPr>
      <w:tblGrid>
        <w:gridCol w:w="11490"/>
      </w:tblGrid>
      <w:tr>
        <w:trPr>
          <w:trHeight w:val="364" w:hRule="atLeast"/>
        </w:trPr>
        <w:tc>
          <w:tcPr>
            <w:tcW w:w="11490" w:type="dxa"/>
            <w:tcBorders/>
          </w:tcPr>
          <w:p>
            <w:pPr>
              <w:pStyle w:val="Normal"/>
              <w:widowControl/>
              <w:bidi w:val="0"/>
              <w:spacing w:lineRule="auto" w:line="240" w:before="0" w:after="0"/>
              <w:ind w:hanging="0" w:start="0" w:end="0"/>
              <w:jc w:val="center"/>
              <w:rPr>
                <w:sz w:val="28"/>
                <w:szCs w:val="28"/>
              </w:rPr>
            </w:pPr>
            <w:r>
              <w:rPr>
                <w:rFonts w:ascii="XO Thames" w:hAnsi="XO Thames"/>
                <w:b/>
                <w:color w:val="000000"/>
                <w:spacing w:val="0"/>
                <w:kern w:val="0"/>
                <w:sz w:val="28"/>
                <w:szCs w:val="28"/>
                <w:u w:val="none"/>
              </w:rPr>
              <w:t>Об утверждении «Порядка</w:t>
            </w:r>
            <w:r>
              <w:rPr>
                <w:rFonts w:ascii="XO Thames" w:hAnsi="XO Thames"/>
                <w:b/>
                <w:color w:val="000000"/>
                <w:spacing w:val="0"/>
                <w:kern w:val="0"/>
                <w:sz w:val="28"/>
                <w:szCs w:val="28"/>
              </w:rPr>
              <w:t xml:space="preserve"> </w:t>
            </w:r>
            <w:bookmarkStart w:id="0" w:name="_GoBack"/>
            <w:bookmarkEnd w:id="0"/>
            <w:r>
              <w:rPr>
                <w:rFonts w:ascii="XO Thames" w:hAnsi="XO Thames"/>
                <w:b/>
                <w:color w:val="000000"/>
                <w:spacing w:val="0"/>
                <w:kern w:val="0"/>
                <w:sz w:val="28"/>
                <w:szCs w:val="28"/>
              </w:rPr>
              <w:t xml:space="preserve">осуществления </w:t>
            </w:r>
          </w:p>
          <w:p>
            <w:pPr>
              <w:pStyle w:val="Normal"/>
              <w:widowControl/>
              <w:bidi w:val="0"/>
              <w:spacing w:lineRule="auto" w:line="240" w:before="0" w:after="0"/>
              <w:ind w:hanging="0" w:start="0" w:end="0"/>
              <w:jc w:val="center"/>
              <w:rPr>
                <w:sz w:val="28"/>
                <w:szCs w:val="28"/>
              </w:rPr>
            </w:pPr>
            <w:r>
              <w:rPr>
                <w:rFonts w:ascii="XO Thames" w:hAnsi="XO Thames"/>
                <w:b/>
                <w:color w:val="000000"/>
                <w:spacing w:val="0"/>
                <w:kern w:val="0"/>
                <w:sz w:val="28"/>
                <w:szCs w:val="28"/>
              </w:rPr>
              <w:t xml:space="preserve">внутреннего финансового аудита </w:t>
            </w:r>
          </w:p>
          <w:p>
            <w:pPr>
              <w:pStyle w:val="Normal"/>
              <w:widowControl/>
              <w:bidi w:val="0"/>
              <w:spacing w:lineRule="auto" w:line="240" w:before="0" w:after="0"/>
              <w:ind w:hanging="0" w:start="0" w:end="0"/>
              <w:jc w:val="center"/>
              <w:rPr>
                <w:sz w:val="28"/>
                <w:szCs w:val="28"/>
              </w:rPr>
            </w:pPr>
            <w:r>
              <w:rPr>
                <w:rFonts w:ascii="XO Thames" w:hAnsi="XO Thames"/>
                <w:b/>
                <w:color w:val="000000"/>
                <w:spacing w:val="0"/>
                <w:kern w:val="0"/>
                <w:sz w:val="28"/>
                <w:szCs w:val="28"/>
              </w:rPr>
              <w:t>в Департаменте труда и социальной</w:t>
            </w:r>
          </w:p>
          <w:p>
            <w:pPr>
              <w:pStyle w:val="Normal"/>
              <w:widowControl/>
              <w:bidi w:val="0"/>
              <w:spacing w:lineRule="auto" w:line="240" w:before="0" w:after="0"/>
              <w:ind w:hanging="0" w:start="0" w:end="0"/>
              <w:jc w:val="center"/>
              <w:rPr>
                <w:sz w:val="28"/>
                <w:szCs w:val="28"/>
              </w:rPr>
            </w:pPr>
            <w:r>
              <w:rPr>
                <w:rFonts w:ascii="XO Thames" w:hAnsi="XO Thames"/>
                <w:b/>
                <w:color w:val="000000"/>
                <w:spacing w:val="0"/>
                <w:kern w:val="0"/>
                <w:sz w:val="28"/>
                <w:szCs w:val="28"/>
              </w:rPr>
              <w:t>защиты населения Ненецкого</w:t>
            </w:r>
          </w:p>
          <w:p>
            <w:pPr>
              <w:pStyle w:val="Normal"/>
              <w:widowControl/>
              <w:bidi w:val="0"/>
              <w:spacing w:lineRule="auto" w:line="240" w:before="0" w:after="0"/>
              <w:ind w:hanging="0" w:start="0" w:end="0"/>
              <w:jc w:val="center"/>
              <w:rPr>
                <w:sz w:val="28"/>
                <w:szCs w:val="28"/>
              </w:rPr>
            </w:pPr>
            <w:r>
              <w:rPr>
                <w:rFonts w:ascii="XO Thames" w:hAnsi="XO Thames"/>
                <w:b/>
                <w:color w:val="000000"/>
                <w:spacing w:val="0"/>
                <w:kern w:val="0"/>
                <w:sz w:val="28"/>
                <w:szCs w:val="28"/>
              </w:rPr>
              <w:t>автономного округа»</w:t>
            </w:r>
          </w:p>
        </w:tc>
      </w:tr>
    </w:tbl>
    <w:p>
      <w:pPr>
        <w:pStyle w:val="Normal"/>
        <w:widowControl/>
        <w:bidi w:val="0"/>
        <w:jc w:val="center"/>
        <w:rPr>
          <w:rFonts w:ascii="XO Thames" w:hAnsi="XO Thames"/>
          <w:sz w:val="28"/>
          <w:szCs w:val="28"/>
        </w:rPr>
      </w:pPr>
      <w:r>
        <w:rPr>
          <w:rFonts w:ascii="XO Thames" w:hAnsi="XO Thames"/>
          <w:sz w:val="28"/>
          <w:szCs w:val="28"/>
        </w:rPr>
      </w:r>
    </w:p>
    <w:p>
      <w:pPr>
        <w:pStyle w:val="Normal"/>
        <w:widowControl/>
        <w:bidi w:val="0"/>
        <w:spacing w:lineRule="auto" w:line="240"/>
        <w:ind w:firstLine="709" w:start="0" w:end="0"/>
        <w:jc w:val="both"/>
        <w:rPr>
          <w:rFonts w:ascii="XO Thames" w:hAnsi="XO Thames"/>
          <w:color w:val="000000"/>
          <w:sz w:val="28"/>
          <w:szCs w:val="28"/>
        </w:rPr>
      </w:pPr>
      <w:r>
        <w:rPr>
          <w:rFonts w:ascii="XO Thames" w:hAnsi="XO Thames"/>
          <w:color w:val="000000"/>
          <w:sz w:val="28"/>
          <w:szCs w:val="28"/>
        </w:rPr>
      </w:r>
    </w:p>
    <w:p>
      <w:pPr>
        <w:pStyle w:val="BodyText"/>
        <w:widowControl/>
        <w:bidi w:val="0"/>
        <w:spacing w:lineRule="auto" w:line="240" w:before="0" w:after="0"/>
        <w:ind w:firstLine="709" w:start="0" w:end="0"/>
        <w:jc w:val="both"/>
        <w:rPr>
          <w:rFonts w:ascii="XO Thames" w:hAnsi="XO Thames"/>
          <w:sz w:val="28"/>
          <w:szCs w:val="28"/>
        </w:rPr>
      </w:pPr>
      <w:r>
        <w:rPr>
          <w:rFonts w:ascii="XO Thames" w:hAnsi="XO Thames"/>
          <w:b w:val="false"/>
          <w:bCs w:val="false"/>
          <w:color w:val="000000"/>
          <w:sz w:val="28"/>
          <w:szCs w:val="28"/>
        </w:rPr>
        <w:t xml:space="preserve">В соответствии со </w:t>
      </w:r>
      <w:r>
        <w:rPr>
          <w:rFonts w:ascii="XO Thames" w:hAnsi="XO Thames"/>
          <w:b w:val="false"/>
          <w:bCs w:val="false"/>
          <w:strike w:val="false"/>
          <w:dstrike w:val="false"/>
          <w:color w:val="000000"/>
          <w:sz w:val="28"/>
          <w:szCs w:val="28"/>
          <w:u w:val="none"/>
          <w:effect w:val="none"/>
        </w:rPr>
        <w:t>статьей 160.2-1</w:t>
      </w:r>
      <w:r>
        <w:rPr>
          <w:rFonts w:ascii="XO Thames" w:hAnsi="XO Thames"/>
          <w:b w:val="false"/>
          <w:bCs w:val="false"/>
          <w:color w:val="000000"/>
          <w:sz w:val="28"/>
          <w:szCs w:val="28"/>
        </w:rPr>
        <w:t xml:space="preserve"> Бюджетного кодекса Российской Федерации, </w:t>
      </w:r>
      <w:r>
        <w:rPr>
          <w:rFonts w:cs="Times New Roman" w:ascii="XO Thames" w:hAnsi="XO Thames"/>
          <w:b w:val="false"/>
          <w:bCs w:val="false"/>
          <w:color w:val="000000"/>
          <w:sz w:val="28"/>
          <w:szCs w:val="28"/>
        </w:rPr>
        <w:t xml:space="preserve"> утвержденного Федерального стандарта приказом Минфина России от 21.11.2019 № 196н </w:t>
      </w:r>
      <w:r>
        <w:rPr>
          <w:rFonts w:ascii="XO Thames" w:hAnsi="XO Thames"/>
          <w:b w:val="false"/>
          <w:bCs w:val="false"/>
          <w:i w:val="false"/>
          <w:caps w:val="false"/>
          <w:smallCaps w:val="false"/>
          <w:color w:val="22272F"/>
          <w:spacing w:val="0"/>
          <w:sz w:val="28"/>
          <w:szCs w:val="28"/>
        </w:rPr>
        <w:t>"Об утверждении федерального стандарта внутреннего финансового аудита "Определения, принципы и задачи внутреннего финансового аудита"</w:t>
      </w:r>
      <w:r>
        <w:rPr>
          <w:rFonts w:ascii="XO Thames" w:hAnsi="XO Thames"/>
          <w:b w:val="false"/>
          <w:bCs w:val="false"/>
          <w:color w:val="000000"/>
          <w:sz w:val="28"/>
          <w:szCs w:val="28"/>
        </w:rPr>
        <w:t xml:space="preserve">, </w:t>
      </w:r>
      <w:r>
        <w:rPr>
          <w:rFonts w:ascii="XO Thames" w:hAnsi="XO Thames"/>
          <w:b w:val="false"/>
          <w:bCs w:val="false"/>
          <w:color w:val="000000"/>
          <w:sz w:val="28"/>
          <w:szCs w:val="28"/>
        </w:rPr>
        <w:t xml:space="preserve">утвержденного </w:t>
      </w:r>
      <w:r>
        <w:rPr>
          <w:rFonts w:cs="Times New Roman" w:ascii="XO Thames" w:hAnsi="XO Thames"/>
          <w:b w:val="false"/>
          <w:bCs w:val="false"/>
          <w:color w:val="000000"/>
          <w:sz w:val="28"/>
          <w:szCs w:val="28"/>
        </w:rPr>
        <w:t xml:space="preserve">Федерального стандарта приказом Минфина России от 18.12.2019 № 237н </w:t>
      </w:r>
      <w:r>
        <w:rPr>
          <w:rFonts w:ascii="XO Thames" w:hAnsi="XO Thames"/>
          <w:b w:val="false"/>
          <w:bCs w:val="false"/>
          <w:i w:val="false"/>
          <w:caps w:val="false"/>
          <w:smallCaps w:val="false"/>
          <w:color w:val="22272F"/>
          <w:spacing w:val="0"/>
          <w:sz w:val="28"/>
          <w:szCs w:val="28"/>
        </w:rPr>
        <w:t>"Об утверждении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w:t>
      </w:r>
      <w:r>
        <w:rPr>
          <w:rFonts w:cs="Times New Roman" w:ascii="XO Thames" w:hAnsi="XO Thames"/>
          <w:b w:val="false"/>
          <w:bCs w:val="false"/>
          <w:i w:val="false"/>
          <w:caps w:val="false"/>
          <w:smallCaps w:val="false"/>
          <w:color w:val="000000"/>
          <w:spacing w:val="0"/>
          <w:sz w:val="28"/>
          <w:szCs w:val="28"/>
        </w:rPr>
        <w:t>,</w:t>
      </w:r>
      <w:r>
        <w:rPr>
          <w:rFonts w:ascii="XO Thames" w:hAnsi="XO Thames"/>
          <w:b w:val="false"/>
          <w:bCs w:val="false"/>
          <w:color w:val="000000"/>
          <w:sz w:val="28"/>
          <w:szCs w:val="28"/>
        </w:rPr>
        <w:t xml:space="preserve"> приказываю:</w:t>
      </w:r>
    </w:p>
    <w:p>
      <w:pPr>
        <w:pStyle w:val="Normal"/>
        <w:widowControl/>
        <w:bidi w:val="0"/>
        <w:spacing w:lineRule="auto" w:line="240" w:before="0" w:after="0"/>
        <w:ind w:firstLine="709" w:start="0" w:end="0"/>
        <w:jc w:val="both"/>
        <w:rPr>
          <w:rFonts w:ascii="XO Thames" w:hAnsi="XO Thames"/>
          <w:sz w:val="28"/>
          <w:szCs w:val="28"/>
        </w:rPr>
      </w:pPr>
      <w:r>
        <w:rPr>
          <w:rFonts w:ascii="XO Thames" w:hAnsi="XO Thames"/>
          <w:b w:val="false"/>
          <w:bCs w:val="false"/>
          <w:color w:val="000000"/>
          <w:sz w:val="28"/>
          <w:szCs w:val="28"/>
        </w:rPr>
        <w:t xml:space="preserve"> </w:t>
      </w:r>
    </w:p>
    <w:p>
      <w:pPr>
        <w:pStyle w:val="Normal"/>
        <w:widowControl/>
        <w:bidi w:val="0"/>
        <w:spacing w:lineRule="auto" w:line="240" w:before="0" w:after="0"/>
        <w:ind w:firstLine="709" w:start="0" w:end="0"/>
        <w:jc w:val="both"/>
        <w:rPr>
          <w:rFonts w:ascii="XO Thames" w:hAnsi="XO Thames"/>
          <w:b w:val="false"/>
          <w:color w:val="000000"/>
          <w:sz w:val="28"/>
          <w:szCs w:val="28"/>
        </w:rPr>
      </w:pPr>
      <w:r>
        <w:rPr>
          <w:rFonts w:ascii="XO Thames" w:hAnsi="XO Thames"/>
          <w:b w:val="false"/>
          <w:color w:val="000000"/>
          <w:sz w:val="28"/>
          <w:szCs w:val="28"/>
        </w:rPr>
      </w:r>
    </w:p>
    <w:p>
      <w:pPr>
        <w:pStyle w:val="Normal"/>
        <w:widowControl/>
        <w:bidi w:val="0"/>
        <w:spacing w:lineRule="auto" w:line="240" w:before="0" w:after="0"/>
        <w:ind w:firstLine="709" w:start="0" w:end="0"/>
        <w:jc w:val="both"/>
        <w:rPr>
          <w:rFonts w:ascii="XO Thames" w:hAnsi="XO Thames"/>
          <w:sz w:val="28"/>
          <w:szCs w:val="28"/>
        </w:rPr>
      </w:pPr>
      <w:r>
        <w:rPr>
          <w:rFonts w:ascii="XO Thames" w:hAnsi="XO Thames"/>
          <w:b w:val="false"/>
          <w:color w:val="000000"/>
          <w:spacing w:val="0"/>
          <w:sz w:val="28"/>
          <w:szCs w:val="28"/>
        </w:rPr>
        <w:t>1. </w:t>
      </w:r>
      <w:r>
        <w:rPr>
          <w:rFonts w:ascii="XO Thames" w:hAnsi="XO Thames"/>
          <w:b w:val="false"/>
          <w:color w:val="000000"/>
          <w:sz w:val="28"/>
          <w:szCs w:val="28"/>
        </w:rPr>
        <w:t>Утвердить Порядок осуществления внутреннего финансового аудита в Департаменте труда и социальной защиты населения Ненецкого автономного округа согласно Приложению.</w:t>
      </w:r>
    </w:p>
    <w:p>
      <w:pPr>
        <w:pStyle w:val="Normal"/>
        <w:widowControl/>
        <w:bidi w:val="0"/>
        <w:spacing w:lineRule="auto" w:line="240" w:before="0" w:after="0"/>
        <w:ind w:firstLine="709" w:start="0" w:end="0"/>
        <w:jc w:val="both"/>
        <w:rPr>
          <w:rFonts w:ascii="XO Thames" w:hAnsi="XO Thames"/>
          <w:b w:val="false"/>
          <w:color w:val="000000"/>
          <w:sz w:val="28"/>
          <w:szCs w:val="28"/>
        </w:rPr>
      </w:pPr>
      <w:r>
        <w:rPr>
          <w:rFonts w:ascii="XO Thames" w:hAnsi="XO Thames"/>
          <w:b w:val="false"/>
          <w:color w:val="000000"/>
          <w:sz w:val="28"/>
          <w:szCs w:val="28"/>
        </w:rPr>
      </w:r>
    </w:p>
    <w:p>
      <w:pPr>
        <w:pStyle w:val="Normal"/>
        <w:widowControl/>
        <w:bidi w:val="0"/>
        <w:spacing w:lineRule="auto" w:line="240" w:before="0" w:after="0"/>
        <w:ind w:firstLine="709" w:start="0" w:end="0"/>
        <w:jc w:val="both"/>
        <w:rPr>
          <w:rFonts w:ascii="XO Thames" w:hAnsi="XO Thames"/>
          <w:sz w:val="28"/>
          <w:szCs w:val="28"/>
        </w:rPr>
      </w:pPr>
      <w:r>
        <w:rPr>
          <w:rFonts w:ascii="XO Thames" w:hAnsi="XO Thames"/>
          <w:b w:val="false"/>
          <w:color w:val="000000"/>
          <w:sz w:val="28"/>
          <w:szCs w:val="28"/>
          <w:u w:val="none"/>
        </w:rPr>
        <w:t>2.</w:t>
      </w:r>
      <w:r>
        <w:rPr>
          <w:rFonts w:ascii="XO Thames" w:hAnsi="XO Thames"/>
          <w:b w:val="false"/>
          <w:color w:val="000000"/>
          <w:spacing w:val="0"/>
          <w:sz w:val="28"/>
          <w:szCs w:val="28"/>
          <w:u w:val="none"/>
        </w:rPr>
        <w:t> </w:t>
      </w:r>
      <w:r>
        <w:rPr>
          <w:rFonts w:ascii="XO Thames" w:hAnsi="XO Thames"/>
          <w:b w:val="false"/>
          <w:color w:val="000000"/>
          <w:sz w:val="28"/>
          <w:szCs w:val="28"/>
          <w:u w:val="none"/>
        </w:rPr>
        <w:t xml:space="preserve">Настоящий приказ вступает в силу через десять дней со дня </w:t>
        <w:br/>
        <w:t>его официального опубликования.</w:t>
      </w:r>
    </w:p>
    <w:p>
      <w:pPr>
        <w:pStyle w:val="Normal"/>
        <w:widowControl/>
        <w:bidi w:val="0"/>
        <w:spacing w:lineRule="auto" w:line="240" w:before="0" w:after="0"/>
        <w:ind w:firstLine="709" w:start="0" w:end="0"/>
        <w:jc w:val="both"/>
        <w:rPr>
          <w:rFonts w:ascii="XO Thames" w:hAnsi="XO Thames"/>
          <w:b w:val="false"/>
          <w:color w:val="000000"/>
          <w:sz w:val="28"/>
          <w:szCs w:val="28"/>
          <w:u w:val="none"/>
        </w:rPr>
      </w:pPr>
      <w:r>
        <w:rPr>
          <w:rFonts w:ascii="XO Thames" w:hAnsi="XO Thames"/>
          <w:b w:val="false"/>
          <w:color w:val="000000"/>
          <w:sz w:val="28"/>
          <w:szCs w:val="28"/>
          <w:u w:val="none"/>
        </w:rPr>
      </w:r>
    </w:p>
    <w:p>
      <w:pPr>
        <w:pStyle w:val="Normal"/>
        <w:widowControl/>
        <w:bidi w:val="0"/>
        <w:spacing w:before="0" w:after="0"/>
        <w:ind w:firstLine="709" w:start="0" w:end="0"/>
        <w:jc w:val="both"/>
        <w:rPr>
          <w:rFonts w:ascii="XO Thames" w:hAnsi="XO Thames"/>
          <w:b w:val="false"/>
          <w:color w:val="000000"/>
          <w:sz w:val="28"/>
          <w:szCs w:val="28"/>
          <w:u w:val="none"/>
        </w:rPr>
      </w:pPr>
      <w:r>
        <w:rPr>
          <w:rFonts w:ascii="XO Thames" w:hAnsi="XO Thames"/>
          <w:b w:val="false"/>
          <w:color w:val="000000"/>
          <w:sz w:val="28"/>
          <w:szCs w:val="28"/>
          <w:u w:val="none"/>
        </w:rPr>
      </w:r>
    </w:p>
    <w:p>
      <w:pPr>
        <w:pStyle w:val="Normal"/>
        <w:widowControl/>
        <w:bidi w:val="0"/>
        <w:ind w:firstLine="709" w:start="0" w:end="0"/>
        <w:jc w:val="both"/>
        <w:rPr>
          <w:rFonts w:ascii="XO Thames" w:hAnsi="XO Thames"/>
          <w:sz w:val="28"/>
          <w:szCs w:val="28"/>
        </w:rPr>
      </w:pPr>
      <w:r>
        <w:rPr>
          <w:rFonts w:ascii="XO Thames" w:hAnsi="XO Thames"/>
          <w:sz w:val="28"/>
          <w:szCs w:val="28"/>
        </w:rPr>
      </w:r>
    </w:p>
    <w:tbl>
      <w:tblPr>
        <w:tblStyle w:val="Style_4"/>
        <w:tblW w:w="9638" w:type="dxa"/>
        <w:jc w:val="start"/>
        <w:tblInd w:w="0" w:type="dxa"/>
        <w:tblLayout w:type="fixed"/>
        <w:tblCellMar>
          <w:top w:w="0" w:type="dxa"/>
          <w:start w:w="108" w:type="dxa"/>
          <w:bottom w:w="0" w:type="dxa"/>
          <w:end w:w="108" w:type="dxa"/>
        </w:tblCellMar>
      </w:tblPr>
      <w:tblGrid>
        <w:gridCol w:w="4171"/>
        <w:gridCol w:w="2725"/>
        <w:gridCol w:w="2742"/>
      </w:tblGrid>
      <w:tr>
        <w:trPr>
          <w:trHeight w:val="240" w:hRule="atLeast"/>
        </w:trPr>
        <w:tc>
          <w:tcPr>
            <w:tcW w:w="4171" w:type="dxa"/>
            <w:tcBorders/>
          </w:tcPr>
          <w:p>
            <w:pPr>
              <w:pStyle w:val="Normal"/>
              <w:widowControl/>
              <w:bidi w:val="0"/>
              <w:spacing w:before="0" w:after="0"/>
              <w:ind w:hanging="0" w:start="-77" w:end="-111"/>
              <w:jc w:val="start"/>
              <w:rPr>
                <w:rFonts w:ascii="XO Thames" w:hAnsi="XO Thames"/>
                <w:sz w:val="28"/>
                <w:szCs w:val="28"/>
              </w:rPr>
            </w:pPr>
            <w:r>
              <w:rPr>
                <w:rFonts w:ascii="XO Thames" w:hAnsi="XO Thames"/>
                <w:color w:val="000000"/>
                <w:spacing w:val="0"/>
                <w:kern w:val="0"/>
                <w:sz w:val="28"/>
                <w:szCs w:val="28"/>
              </w:rPr>
              <w:t xml:space="preserve">Заместитель губернатора Ненецкого автономного округа </w:t>
            </w:r>
            <w:r>
              <w:rPr>
                <w:rFonts w:ascii="XO Thames" w:hAnsi="XO Thames"/>
                <w:b w:val="false"/>
                <w:color w:val="000000"/>
                <w:spacing w:val="0"/>
                <w:kern w:val="0"/>
                <w:sz w:val="28"/>
                <w:szCs w:val="28"/>
                <w:u w:val="none"/>
              </w:rPr>
              <w:t>–</w:t>
            </w:r>
            <w:r>
              <w:rPr>
                <w:rFonts w:ascii="XO Thames" w:hAnsi="XO Thames"/>
                <w:color w:val="000000"/>
                <w:spacing w:val="0"/>
                <w:kern w:val="0"/>
                <w:sz w:val="28"/>
                <w:szCs w:val="28"/>
              </w:rPr>
              <w:t xml:space="preserve">  руководитель Департамента труда </w:t>
            </w:r>
          </w:p>
          <w:p>
            <w:pPr>
              <w:pStyle w:val="Normal"/>
              <w:widowControl/>
              <w:bidi w:val="0"/>
              <w:spacing w:before="0" w:after="0"/>
              <w:ind w:hanging="0" w:start="-77" w:end="-111"/>
              <w:jc w:val="start"/>
              <w:rPr>
                <w:rFonts w:ascii="XO Thames" w:hAnsi="XO Thames"/>
                <w:sz w:val="28"/>
                <w:szCs w:val="28"/>
              </w:rPr>
            </w:pPr>
            <w:r>
              <w:rPr>
                <w:rFonts w:ascii="XO Thames" w:hAnsi="XO Thames"/>
                <w:color w:val="000000"/>
                <w:spacing w:val="0"/>
                <w:kern w:val="0"/>
                <w:sz w:val="28"/>
                <w:szCs w:val="28"/>
              </w:rPr>
              <w:t>и социальной защиты населения Ненецкого автономного округа</w:t>
            </w:r>
          </w:p>
        </w:tc>
        <w:tc>
          <w:tcPr>
            <w:tcW w:w="2725" w:type="dxa"/>
            <w:tcBorders/>
            <w:tcMar>
              <w:end w:w="0" w:type="dxa"/>
            </w:tcMar>
            <w:vAlign w:val="center"/>
          </w:tcPr>
          <w:p>
            <w:pPr>
              <w:pStyle w:val="Normal"/>
              <w:widowControl/>
              <w:bidi w:val="0"/>
              <w:spacing w:before="0" w:after="0"/>
              <w:ind w:hanging="0" w:start="-113" w:end="-255"/>
              <w:jc w:val="start"/>
              <w:rPr>
                <w:rFonts w:ascii="XO Thames" w:hAnsi="XO Thames"/>
                <w:color w:val="0070C0"/>
                <w:sz w:val="28"/>
                <w:szCs w:val="28"/>
              </w:rPr>
            </w:pPr>
            <w:r>
              <w:rPr>
                <w:rFonts w:ascii="XO Thames" w:hAnsi="XO Thames"/>
                <w:color w:val="0070C0"/>
                <w:sz w:val="28"/>
                <w:szCs w:val="28"/>
              </w:rPr>
            </w:r>
            <w:bookmarkStart w:id="1" w:name="EDSstamp"/>
            <w:bookmarkStart w:id="2" w:name="EDSstamp"/>
            <w:bookmarkEnd w:id="2"/>
          </w:p>
        </w:tc>
        <w:tc>
          <w:tcPr>
            <w:tcW w:w="2742" w:type="dxa"/>
            <w:tcBorders/>
            <w:vAlign w:val="bottom"/>
          </w:tcPr>
          <w:p>
            <w:pPr>
              <w:pStyle w:val="Normal"/>
              <w:widowControl/>
              <w:bidi w:val="0"/>
              <w:spacing w:before="0" w:after="0"/>
              <w:ind w:hanging="0" w:start="-253" w:end="-114"/>
              <w:jc w:val="end"/>
              <w:rPr>
                <w:rFonts w:ascii="XO Thames" w:hAnsi="XO Thames"/>
                <w:sz w:val="28"/>
                <w:szCs w:val="28"/>
              </w:rPr>
            </w:pPr>
            <w:r>
              <w:rPr>
                <w:rFonts w:ascii="XO Thames" w:hAnsi="XO Thames"/>
                <w:color w:val="000000"/>
                <w:spacing w:val="0"/>
                <w:kern w:val="0"/>
                <w:sz w:val="28"/>
                <w:szCs w:val="28"/>
              </w:rPr>
              <w:t>И.В. Буторина</w:t>
            </w:r>
          </w:p>
        </w:tc>
      </w:tr>
    </w:tbl>
    <w:p>
      <w:pPr>
        <w:pStyle w:val="Normal"/>
        <w:widowControl/>
        <w:tabs>
          <w:tab w:val="left" w:pos="0" w:leader="none"/>
          <w:tab w:val="left" w:pos="709" w:leader="none"/>
          <w:tab w:val="left" w:pos="7620" w:leader="none"/>
        </w:tabs>
        <w:bidi w:val="0"/>
        <w:spacing w:before="0" w:after="0"/>
        <w:jc w:val="both"/>
        <w:rPr>
          <w:rFonts w:ascii="XO Thames" w:hAnsi="XO Thames"/>
          <w:sz w:val="28"/>
          <w:szCs w:val="28"/>
        </w:rPr>
      </w:pPr>
      <w:r>
        <w:rPr>
          <w:rFonts w:ascii="XO Thames" w:hAnsi="XO Thames"/>
          <w:sz w:val="28"/>
          <w:szCs w:val="28"/>
        </w:rPr>
      </w:r>
    </w:p>
    <w:p>
      <w:pPr>
        <w:pStyle w:val="ConsPlusNormal"/>
        <w:numPr>
          <w:ilvl w:val="0"/>
          <w:numId w:val="0"/>
        </w:numPr>
        <w:bidi w:val="0"/>
        <w:ind w:hanging="0" w:start="0"/>
        <w:jc w:val="end"/>
        <w:outlineLvl w:val="0"/>
        <w:rPr>
          <w:highlight w:val="none"/>
          <w:shd w:fill="auto" w:val="clear"/>
        </w:rPr>
      </w:pPr>
      <w:r>
        <w:rPr>
          <w:rFonts w:ascii="XO Thames" w:hAnsi="XO Thames"/>
          <w:sz w:val="28"/>
          <w:szCs w:val="28"/>
          <w:shd w:fill="auto" w:val="clear"/>
        </w:rPr>
        <w:t>Приложение</w:t>
      </w:r>
    </w:p>
    <w:p>
      <w:pPr>
        <w:pStyle w:val="ConsPlusNormal"/>
        <w:bidi w:val="0"/>
        <w:ind w:hanging="0" w:start="0"/>
        <w:jc w:val="end"/>
        <w:rPr>
          <w:highlight w:val="none"/>
          <w:shd w:fill="auto" w:val="clear"/>
        </w:rPr>
      </w:pPr>
      <w:r>
        <w:rPr>
          <w:rFonts w:ascii="XO Thames" w:hAnsi="XO Thames"/>
          <w:sz w:val="28"/>
          <w:szCs w:val="28"/>
          <w:shd w:fill="auto" w:val="clear"/>
        </w:rPr>
        <w:t>к приказу Департамента труда</w:t>
      </w:r>
    </w:p>
    <w:p>
      <w:pPr>
        <w:pStyle w:val="ConsPlusNormal"/>
        <w:bidi w:val="0"/>
        <w:ind w:hanging="0" w:start="0"/>
        <w:jc w:val="end"/>
        <w:rPr>
          <w:highlight w:val="none"/>
          <w:shd w:fill="auto" w:val="clear"/>
        </w:rPr>
      </w:pPr>
      <w:r>
        <w:rPr>
          <w:rFonts w:ascii="XO Thames" w:hAnsi="XO Thames"/>
          <w:sz w:val="28"/>
          <w:szCs w:val="28"/>
          <w:shd w:fill="auto" w:val="clear"/>
        </w:rPr>
        <w:t>и социальной защиты населения</w:t>
      </w:r>
    </w:p>
    <w:p>
      <w:pPr>
        <w:pStyle w:val="ConsPlusNormal"/>
        <w:bidi w:val="0"/>
        <w:ind w:hanging="0" w:start="0"/>
        <w:jc w:val="end"/>
        <w:rPr>
          <w:highlight w:val="none"/>
          <w:shd w:fill="auto" w:val="clear"/>
        </w:rPr>
      </w:pPr>
      <w:r>
        <w:rPr>
          <w:rFonts w:ascii="XO Thames" w:hAnsi="XO Thames"/>
          <w:sz w:val="28"/>
          <w:szCs w:val="28"/>
          <w:shd w:fill="auto" w:val="clear"/>
        </w:rPr>
        <w:t>Ненецкого автономного округа</w:t>
      </w:r>
    </w:p>
    <w:p>
      <w:pPr>
        <w:pStyle w:val="ConsPlusNormal"/>
        <w:bidi w:val="0"/>
        <w:ind w:hanging="0" w:start="0"/>
        <w:jc w:val="end"/>
        <w:rPr>
          <w:highlight w:val="none"/>
          <w:shd w:fill="auto" w:val="clear"/>
        </w:rPr>
      </w:pPr>
      <w:r>
        <w:rPr>
          <w:rFonts w:ascii="XO Thames" w:hAnsi="XO Thames"/>
          <w:sz w:val="28"/>
          <w:szCs w:val="28"/>
          <w:shd w:fill="auto" w:val="clear"/>
        </w:rPr>
        <w:t>от _________ N __</w:t>
      </w:r>
    </w:p>
    <w:p>
      <w:pPr>
        <w:pStyle w:val="ConsPlusNormal"/>
        <w:bidi w:val="0"/>
        <w:ind w:hanging="0" w:start="0"/>
        <w:jc w:val="end"/>
        <w:rPr>
          <w:highlight w:val="none"/>
          <w:shd w:fill="auto" w:val="clear"/>
        </w:rPr>
      </w:pPr>
      <w:r>
        <w:rPr>
          <w:rFonts w:ascii="XO Thames" w:hAnsi="XO Thames"/>
          <w:sz w:val="28"/>
          <w:szCs w:val="28"/>
          <w:shd w:fill="auto" w:val="clear"/>
        </w:rPr>
        <w:t>"Об утверждении Порядка</w:t>
      </w:r>
    </w:p>
    <w:p>
      <w:pPr>
        <w:pStyle w:val="ConsPlusNormal"/>
        <w:bidi w:val="0"/>
        <w:ind w:hanging="0" w:start="0"/>
        <w:jc w:val="end"/>
        <w:rPr>
          <w:highlight w:val="none"/>
          <w:shd w:fill="auto" w:val="clear"/>
        </w:rPr>
      </w:pPr>
      <w:r>
        <w:rPr>
          <w:rFonts w:ascii="XO Thames" w:hAnsi="XO Thames"/>
          <w:sz w:val="28"/>
          <w:szCs w:val="28"/>
          <w:shd w:fill="auto" w:val="clear"/>
        </w:rPr>
        <w:t>осуществления внутреннего</w:t>
      </w:r>
    </w:p>
    <w:p>
      <w:pPr>
        <w:pStyle w:val="ConsPlusNormal"/>
        <w:bidi w:val="0"/>
        <w:ind w:hanging="0" w:start="0"/>
        <w:jc w:val="end"/>
        <w:rPr>
          <w:highlight w:val="none"/>
          <w:shd w:fill="auto" w:val="clear"/>
        </w:rPr>
      </w:pPr>
      <w:r>
        <w:rPr>
          <w:rFonts w:ascii="XO Thames" w:hAnsi="XO Thames"/>
          <w:sz w:val="28"/>
          <w:szCs w:val="28"/>
          <w:shd w:fill="auto" w:val="clear"/>
        </w:rPr>
        <w:t>финансового аудита</w:t>
      </w:r>
    </w:p>
    <w:p>
      <w:pPr>
        <w:pStyle w:val="ConsPlusNormal"/>
        <w:bidi w:val="0"/>
        <w:ind w:hanging="0" w:start="0"/>
        <w:jc w:val="end"/>
        <w:rPr>
          <w:highlight w:val="none"/>
          <w:shd w:fill="auto" w:val="clear"/>
        </w:rPr>
      </w:pPr>
      <w:r>
        <w:rPr>
          <w:rFonts w:ascii="XO Thames" w:hAnsi="XO Thames"/>
          <w:sz w:val="28"/>
          <w:szCs w:val="28"/>
          <w:shd w:fill="auto" w:val="clear"/>
        </w:rPr>
        <w:t xml:space="preserve">в Департаменте труда </w:t>
      </w:r>
    </w:p>
    <w:p>
      <w:pPr>
        <w:pStyle w:val="ConsPlusNormal"/>
        <w:bidi w:val="0"/>
        <w:ind w:hanging="0" w:start="0"/>
        <w:jc w:val="end"/>
        <w:rPr>
          <w:highlight w:val="none"/>
          <w:shd w:fill="auto" w:val="clear"/>
        </w:rPr>
      </w:pPr>
      <w:r>
        <w:rPr>
          <w:rFonts w:ascii="XO Thames" w:hAnsi="XO Thames"/>
          <w:sz w:val="28"/>
          <w:szCs w:val="28"/>
          <w:shd w:fill="auto" w:val="clear"/>
        </w:rPr>
        <w:t>и социальной защиты населения</w:t>
      </w:r>
    </w:p>
    <w:p>
      <w:pPr>
        <w:pStyle w:val="ConsPlusNormal"/>
        <w:bidi w:val="0"/>
        <w:ind w:hanging="0" w:start="0"/>
        <w:jc w:val="end"/>
        <w:rPr>
          <w:highlight w:val="none"/>
          <w:shd w:fill="auto" w:val="clear"/>
        </w:rPr>
      </w:pPr>
      <w:r>
        <w:rPr>
          <w:rFonts w:ascii="XO Thames" w:hAnsi="XO Thames"/>
          <w:sz w:val="28"/>
          <w:szCs w:val="28"/>
          <w:shd w:fill="auto" w:val="clear"/>
        </w:rPr>
        <w:t>Ненецкого автономного округа"</w:t>
      </w:r>
    </w:p>
    <w:p>
      <w:pPr>
        <w:pStyle w:val="Heading1"/>
        <w:ind w:hanging="0" w:start="0"/>
        <w:rPr/>
      </w:pPr>
      <w:r>
        <w:rPr/>
      </w:r>
    </w:p>
    <w:p>
      <w:pPr>
        <w:pStyle w:val="Heading1"/>
        <w:ind w:hanging="0" w:start="0"/>
        <w:rPr/>
      </w:pPr>
      <w:r>
        <w:rPr/>
      </w:r>
    </w:p>
    <w:p>
      <w:pPr>
        <w:pStyle w:val="Heading1"/>
        <w:ind w:hanging="0" w:start="0"/>
        <w:rPr/>
      </w:pPr>
      <w:r>
        <w:rPr/>
      </w:r>
    </w:p>
    <w:p>
      <w:pPr>
        <w:pStyle w:val="Heading1"/>
        <w:ind w:hanging="0" w:start="0"/>
        <w:rPr>
          <w:rFonts w:ascii="XO Thames" w:hAnsi="XO Thames"/>
          <w:sz w:val="28"/>
          <w:szCs w:val="28"/>
        </w:rPr>
      </w:pPr>
      <w:r>
        <w:rPr>
          <w:rFonts w:ascii="XO Thames" w:hAnsi="XO Thames"/>
          <w:sz w:val="28"/>
          <w:szCs w:val="28"/>
        </w:rPr>
        <w:t>Порядок</w:t>
        <w:br/>
        <w:t>осуществления Департаментом труда и социальной защиты населения Ненецкого автономного округа внутреннего финансового аудита</w:t>
      </w:r>
    </w:p>
    <w:p>
      <w:pPr>
        <w:pStyle w:val="Normal"/>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bookmarkStart w:id="3" w:name="sub_101"/>
      <w:bookmarkEnd w:id="3"/>
      <w:r>
        <w:rPr>
          <w:rFonts w:ascii="XO Thames" w:hAnsi="XO Thames"/>
          <w:sz w:val="28"/>
          <w:szCs w:val="28"/>
        </w:rPr>
        <w:t>Общие положения</w:t>
      </w:r>
    </w:p>
    <w:p>
      <w:pPr>
        <w:pStyle w:val="Normal"/>
        <w:rPr>
          <w:rFonts w:ascii="XO Thames" w:hAnsi="XO Thames"/>
          <w:sz w:val="28"/>
          <w:szCs w:val="28"/>
        </w:rPr>
      </w:pPr>
      <w:r>
        <w:rPr>
          <w:rFonts w:ascii="XO Thames" w:hAnsi="XO Thames"/>
          <w:sz w:val="28"/>
          <w:szCs w:val="28"/>
        </w:rPr>
      </w:r>
      <w:bookmarkStart w:id="4" w:name="sub_101_Копия_1"/>
      <w:bookmarkStart w:id="5" w:name="sub_101_Копия_1"/>
      <w:bookmarkEnd w:id="5"/>
    </w:p>
    <w:p>
      <w:pPr>
        <w:pStyle w:val="Normal"/>
        <w:jc w:val="both"/>
        <w:rPr/>
      </w:pPr>
      <w:bookmarkStart w:id="6" w:name="sub_1001"/>
      <w:bookmarkEnd w:id="6"/>
      <w:r>
        <w:rPr>
          <w:rStyle w:val="Style7"/>
          <w:rFonts w:ascii="XO Thames" w:hAnsi="XO Thames"/>
          <w:sz w:val="28"/>
          <w:szCs w:val="28"/>
        </w:rPr>
        <w:t xml:space="preserve">1. Порядок осуществления Департаментом социальной защиты населения Ненецкого автономного округа (далее - Департамент) внутреннего финансового аудита (далее - Порядок) разработан с учетом </w:t>
      </w:r>
      <w:hyperlink r:id="rId3">
        <w:r>
          <w:rPr>
            <w:rStyle w:val="Style"/>
            <w:rFonts w:ascii="XO Thames" w:hAnsi="XO Thames"/>
            <w:b w:val="false"/>
            <w:color w:val="106BBE"/>
            <w:sz w:val="28"/>
            <w:szCs w:val="28"/>
          </w:rPr>
          <w:t>пунктов 1</w:t>
        </w:r>
      </w:hyperlink>
      <w:r>
        <w:rPr>
          <w:rStyle w:val="Style7"/>
          <w:rFonts w:ascii="XO Thames" w:hAnsi="XO Thames"/>
          <w:sz w:val="28"/>
          <w:szCs w:val="28"/>
        </w:rPr>
        <w:t xml:space="preserve">, </w:t>
      </w:r>
      <w:hyperlink r:id="rId4">
        <w:r>
          <w:rPr>
            <w:rStyle w:val="Style"/>
            <w:rFonts w:ascii="XO Thames" w:hAnsi="XO Thames"/>
            <w:b w:val="false"/>
            <w:color w:val="106BBE"/>
            <w:sz w:val="28"/>
            <w:szCs w:val="28"/>
          </w:rPr>
          <w:t>2</w:t>
        </w:r>
      </w:hyperlink>
      <w:r>
        <w:rPr>
          <w:rStyle w:val="Style7"/>
          <w:rFonts w:ascii="XO Thames" w:hAnsi="XO Thames"/>
          <w:sz w:val="28"/>
          <w:szCs w:val="28"/>
        </w:rPr>
        <w:t xml:space="preserve">, </w:t>
      </w:r>
      <w:hyperlink r:id="rId5">
        <w:r>
          <w:rPr>
            <w:rStyle w:val="Style"/>
            <w:rFonts w:ascii="XO Thames" w:hAnsi="XO Thames"/>
            <w:b w:val="false"/>
            <w:color w:val="106BBE"/>
            <w:sz w:val="28"/>
            <w:szCs w:val="28"/>
          </w:rPr>
          <w:t>5 статьи 160.2-1</w:t>
        </w:r>
      </w:hyperlink>
      <w:r>
        <w:rPr>
          <w:rStyle w:val="Style7"/>
          <w:rFonts w:ascii="XO Thames" w:hAnsi="XO Thames"/>
          <w:sz w:val="28"/>
          <w:szCs w:val="28"/>
        </w:rPr>
        <w:t xml:space="preserve"> Бюджетного кодекса Российской Федерации и в соответствии с федеральными стандартами внутреннего финансового аудита. Порядок содержит положения, определяющие особенности их применения при планировании, формировании и утверждении программы аудиторского мероприятия, проведении аудиторского мероприятия, составлении и представлении заключения, годовой отчетности о результатах деятельности субъекта внутреннего финансового аудита и другие положения.</w:t>
      </w:r>
    </w:p>
    <w:p>
      <w:pPr>
        <w:pStyle w:val="Normal"/>
        <w:jc w:val="both"/>
        <w:rPr/>
      </w:pPr>
      <w:bookmarkStart w:id="7" w:name="sub_1002"/>
      <w:bookmarkStart w:id="8" w:name="sub_1001_Копия_1"/>
      <w:bookmarkEnd w:id="7"/>
      <w:bookmarkEnd w:id="8"/>
      <w:r>
        <w:rPr>
          <w:rStyle w:val="Style7"/>
          <w:rFonts w:ascii="XO Thames" w:hAnsi="XO Thames"/>
          <w:sz w:val="28"/>
          <w:szCs w:val="28"/>
        </w:rPr>
        <w:t>2. Внутренний финансовый аудит является деятельностью по формированию и предоставлению независимой и объективной информации о результатах исполнения бюджетных полномочий Департамента (подведомственных учреждений), направленной на повышение качества выполнения внутренних бюджетных процедур, в том числе:</w:t>
      </w:r>
    </w:p>
    <w:p>
      <w:pPr>
        <w:pStyle w:val="Normal"/>
        <w:jc w:val="both"/>
        <w:rPr/>
      </w:pPr>
      <w:bookmarkStart w:id="9" w:name="sub_1002_Копия_1"/>
      <w:bookmarkEnd w:id="9"/>
      <w:r>
        <w:rPr>
          <w:rStyle w:val="Style7"/>
          <w:rFonts w:ascii="XO Thames" w:hAnsi="XO Thames"/>
          <w:sz w:val="28"/>
          <w:szCs w:val="28"/>
        </w:rPr>
        <w:t>информации о результатах оценки исполнения бюджетных полномочий главного администратора бюджетных средств и подведомственных учреждений;</w:t>
      </w:r>
    </w:p>
    <w:p>
      <w:pPr>
        <w:pStyle w:val="Normal"/>
        <w:jc w:val="both"/>
        <w:rPr/>
      </w:pPr>
      <w:r>
        <w:rPr>
          <w:rStyle w:val="Style7"/>
          <w:rFonts w:ascii="XO Thames" w:hAnsi="XO Thames"/>
          <w:sz w:val="28"/>
          <w:szCs w:val="28"/>
        </w:rPr>
        <w:t>предложений о повышении качества финансового менеджмента (по совершенствованию качества исполнения бюджетных полномочий и предотвращению недостатков и нарушений), включая предложения по организации внутреннего финансового контроля, предложения по повышению результативности и экономности использования бюджетных средств;</w:t>
      </w:r>
    </w:p>
    <w:p>
      <w:pPr>
        <w:pStyle w:val="Normal"/>
        <w:jc w:val="both"/>
        <w:rPr/>
      </w:pPr>
      <w:r>
        <w:rPr>
          <w:rStyle w:val="Style7"/>
          <w:rFonts w:ascii="XO Thames" w:hAnsi="XO Thames"/>
          <w:sz w:val="28"/>
          <w:szCs w:val="28"/>
        </w:rPr>
        <w:t>заключения о результатах исполнения решений, направленных на повышение качества финансового менеджмента.</w:t>
      </w:r>
    </w:p>
    <w:p>
      <w:pPr>
        <w:pStyle w:val="Normal"/>
        <w:jc w:val="both"/>
        <w:rPr/>
      </w:pPr>
      <w:bookmarkStart w:id="10" w:name="sub_1003"/>
      <w:bookmarkEnd w:id="10"/>
      <w:r>
        <w:rPr>
          <w:rStyle w:val="Style7"/>
          <w:rFonts w:ascii="XO Thames" w:hAnsi="XO Thames"/>
          <w:sz w:val="28"/>
          <w:szCs w:val="28"/>
        </w:rPr>
        <w:t>3. Внутренний финансовый аудит осуществляется в целях:</w:t>
      </w:r>
    </w:p>
    <w:p>
      <w:pPr>
        <w:pStyle w:val="Normal"/>
        <w:jc w:val="both"/>
        <w:rPr/>
      </w:pPr>
      <w:bookmarkStart w:id="11" w:name="sub_1003_Копия_1"/>
      <w:bookmarkEnd w:id="11"/>
      <w:r>
        <w:rPr>
          <w:rStyle w:val="Style7"/>
          <w:rFonts w:ascii="XO Thames" w:hAnsi="XO Thames"/>
          <w:sz w:val="28"/>
          <w:szCs w:val="28"/>
        </w:rPr>
        <w:t>оценки надежности внутреннего финансового контроля Департамента (подведомственных учреждений) на предмет соответствия установленными правовыми актами, регулирующими бюджетные правоотношения, требованиям к исполнению своих бюджетных полномочий и подготовки предложений об организации внутреннего финансового контроля;</w:t>
      </w:r>
    </w:p>
    <w:p>
      <w:pPr>
        <w:pStyle w:val="Normal"/>
        <w:jc w:val="both"/>
        <w:rPr/>
      </w:pPr>
      <w:r>
        <w:rPr>
          <w:rStyle w:val="Style7"/>
          <w:rFonts w:ascii="XO Thames" w:hAnsi="XO Thames"/>
          <w:sz w:val="28"/>
          <w:szCs w:val="28"/>
        </w:rPr>
        <w:t>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w:t>
      </w:r>
    </w:p>
    <w:p>
      <w:pPr>
        <w:pStyle w:val="Normal"/>
        <w:jc w:val="both"/>
        <w:rPr/>
      </w:pPr>
      <w:r>
        <w:rPr>
          <w:rStyle w:val="Style7"/>
          <w:rFonts w:ascii="XO Thames" w:hAnsi="XO Thames"/>
          <w:sz w:val="28"/>
          <w:szCs w:val="28"/>
        </w:rPr>
        <w:t>повышения качества финансового менеджмента.</w:t>
      </w:r>
    </w:p>
    <w:p>
      <w:pPr>
        <w:pStyle w:val="Normal"/>
        <w:jc w:val="both"/>
        <w:rPr/>
      </w:pPr>
      <w:bookmarkStart w:id="12" w:name="sub_1004"/>
      <w:bookmarkEnd w:id="12"/>
      <w:r>
        <w:rPr>
          <w:rStyle w:val="Style7"/>
          <w:rFonts w:ascii="XO Thames" w:hAnsi="XO Thames"/>
          <w:sz w:val="28"/>
          <w:szCs w:val="28"/>
        </w:rPr>
        <w:t>4. Объектами внутреннего финансового аудита являются бюджетные процедуры и/или составляющие эти процедуры операции (действия) по их выполнению (далее - Объект аудита).</w:t>
      </w:r>
    </w:p>
    <w:p>
      <w:pPr>
        <w:pStyle w:val="Normal"/>
        <w:jc w:val="both"/>
        <w:rPr/>
      </w:pPr>
      <w:bookmarkStart w:id="13" w:name="sub_1005"/>
      <w:bookmarkStart w:id="14" w:name="sub_1004_Копия_1"/>
      <w:bookmarkEnd w:id="13"/>
      <w:bookmarkEnd w:id="14"/>
      <w:r>
        <w:rPr>
          <w:rStyle w:val="Style7"/>
          <w:rFonts w:ascii="XO Thames" w:hAnsi="XO Thames"/>
          <w:sz w:val="28"/>
          <w:szCs w:val="28"/>
        </w:rPr>
        <w:t>5. Внутренний финансовый аудит осуществляется государственным гражданским служащим, обладающим необходимыми профессиональными знаниями и навыками, умениями, а также другими компетенциями, позволяющими этому уполномоченному должностному лицу планировать и проводить аудиторские мероприятия, выполняя в полном объеме стоящие перед субъектом внутреннего финансового аудита цели и задачи (далее - Должностное лицо).</w:t>
      </w:r>
    </w:p>
    <w:p>
      <w:pPr>
        <w:pStyle w:val="Normal"/>
        <w:jc w:val="both"/>
        <w:rPr/>
      </w:pPr>
      <w:bookmarkStart w:id="15" w:name="sub_1006"/>
      <w:bookmarkStart w:id="16" w:name="sub_1005_Копия_1"/>
      <w:bookmarkEnd w:id="15"/>
      <w:bookmarkEnd w:id="16"/>
      <w:r>
        <w:rPr>
          <w:rStyle w:val="Style7"/>
          <w:rFonts w:ascii="XO Thames" w:hAnsi="XO Thames"/>
          <w:sz w:val="28"/>
          <w:szCs w:val="28"/>
        </w:rPr>
        <w:t>6. Деятельность субъекта внутреннего финансового аудита основывается на следующих принципах: законность, функциональная независимость, объективность компетентности, профессиональный скептицизм, эффективность, системность, ответственность и стандартизация.</w:t>
      </w:r>
    </w:p>
    <w:p>
      <w:pPr>
        <w:pStyle w:val="Normal"/>
        <w:jc w:val="both"/>
        <w:rPr/>
      </w:pPr>
      <w:bookmarkStart w:id="17" w:name="sub_1007"/>
      <w:bookmarkStart w:id="18" w:name="sub_1006_Копия_1"/>
      <w:bookmarkEnd w:id="17"/>
      <w:bookmarkEnd w:id="18"/>
      <w:r>
        <w:rPr>
          <w:rStyle w:val="Style7"/>
          <w:rFonts w:ascii="XO Thames" w:hAnsi="XO Thames"/>
          <w:sz w:val="28"/>
          <w:szCs w:val="28"/>
        </w:rPr>
        <w:t xml:space="preserve">7. Права и обязанности субъекта внутреннего финансового аудита определены </w:t>
      </w:r>
      <w:hyperlink r:id="rId6">
        <w:r>
          <w:rPr>
            <w:rStyle w:val="Style"/>
            <w:rFonts w:ascii="XO Thames" w:hAnsi="XO Thames"/>
            <w:b w:val="false"/>
            <w:color w:val="106BBE"/>
            <w:sz w:val="28"/>
            <w:szCs w:val="28"/>
          </w:rPr>
          <w:t>федеральным стандартом</w:t>
        </w:r>
      </w:hyperlink>
      <w:r>
        <w:rPr>
          <w:rStyle w:val="Style7"/>
          <w:rFonts w:ascii="XO Thames" w:hAnsi="XO Thames"/>
          <w:sz w:val="28"/>
          <w:szCs w:val="28"/>
        </w:rPr>
        <w:t xml:space="preserve"> внутреннего финансового аудита "Права и обязанности должностных лиц при осуществлении внутреннего финансового аудита".</w:t>
      </w:r>
    </w:p>
    <w:p>
      <w:pPr>
        <w:pStyle w:val="Normal"/>
        <w:jc w:val="both"/>
        <w:rPr>
          <w:rFonts w:ascii="XO Thames" w:hAnsi="XO Thames"/>
          <w:sz w:val="28"/>
          <w:szCs w:val="28"/>
        </w:rPr>
      </w:pPr>
      <w:r>
        <w:rPr>
          <w:rFonts w:ascii="XO Thames" w:hAnsi="XO Thames"/>
          <w:sz w:val="28"/>
          <w:szCs w:val="28"/>
        </w:rPr>
      </w:r>
      <w:bookmarkStart w:id="19" w:name="sub_1007_Копия_1"/>
      <w:bookmarkStart w:id="20" w:name="sub_1007_Копия_1"/>
      <w:bookmarkEnd w:id="20"/>
    </w:p>
    <w:p>
      <w:pPr>
        <w:pStyle w:val="Heading1"/>
        <w:ind w:hanging="0" w:start="0"/>
        <w:jc w:val="both"/>
        <w:rPr>
          <w:rFonts w:ascii="XO Thames" w:hAnsi="XO Thames"/>
          <w:sz w:val="28"/>
          <w:szCs w:val="28"/>
        </w:rPr>
      </w:pPr>
      <w:r>
        <w:rPr>
          <w:rFonts w:ascii="XO Thames" w:hAnsi="XO Thames"/>
          <w:sz w:val="28"/>
          <w:szCs w:val="28"/>
        </w:rPr>
      </w:r>
    </w:p>
    <w:p>
      <w:pPr>
        <w:pStyle w:val="Heading1"/>
        <w:ind w:hanging="0" w:start="0"/>
        <w:jc w:val="center"/>
        <w:rPr>
          <w:rFonts w:ascii="XO Thames" w:hAnsi="XO Thames"/>
          <w:sz w:val="28"/>
          <w:szCs w:val="28"/>
        </w:rPr>
      </w:pPr>
      <w:r>
        <w:rPr>
          <w:rFonts w:ascii="XO Thames" w:hAnsi="XO Thames"/>
          <w:sz w:val="28"/>
          <w:szCs w:val="28"/>
        </w:rPr>
        <w:t xml:space="preserve">          </w:t>
      </w:r>
      <w:bookmarkStart w:id="21" w:name="sub_102"/>
      <w:r>
        <w:rPr>
          <w:rFonts w:ascii="XO Thames" w:hAnsi="XO Thames"/>
          <w:sz w:val="28"/>
          <w:szCs w:val="28"/>
        </w:rPr>
        <w:t>Планирование аудиторских мероприятий</w:t>
      </w:r>
    </w:p>
    <w:p>
      <w:pPr>
        <w:pStyle w:val="Normal"/>
        <w:jc w:val="both"/>
        <w:rPr>
          <w:rFonts w:ascii="XO Thames" w:hAnsi="XO Thames"/>
          <w:sz w:val="28"/>
          <w:szCs w:val="28"/>
        </w:rPr>
      </w:pPr>
      <w:r>
        <w:rPr>
          <w:rFonts w:ascii="XO Thames" w:hAnsi="XO Thames"/>
          <w:sz w:val="28"/>
          <w:szCs w:val="28"/>
        </w:rPr>
      </w:r>
      <w:bookmarkEnd w:id="21"/>
    </w:p>
    <w:p>
      <w:pPr>
        <w:pStyle w:val="Normal"/>
        <w:jc w:val="both"/>
        <w:rPr/>
      </w:pPr>
      <w:bookmarkStart w:id="22" w:name="sub_1008"/>
      <w:bookmarkEnd w:id="22"/>
      <w:r>
        <w:rPr>
          <w:rStyle w:val="Style7"/>
          <w:rFonts w:ascii="XO Thames" w:hAnsi="XO Thames"/>
          <w:sz w:val="28"/>
          <w:szCs w:val="28"/>
        </w:rPr>
        <w:t>8. Плановые аудиторские проверки осуществляются в соответствии с планом проведения аудиторских мероприятий на очередной финансовый год (далее - План), который составляется субъектом внутреннего финансового аудита.</w:t>
      </w:r>
    </w:p>
    <w:p>
      <w:pPr>
        <w:pStyle w:val="Normal"/>
        <w:jc w:val="both"/>
        <w:rPr/>
      </w:pPr>
      <w:bookmarkStart w:id="23" w:name="sub_1008_Копия_1"/>
      <w:bookmarkEnd w:id="23"/>
      <w:r>
        <w:rPr>
          <w:rStyle w:val="Style7"/>
          <w:rFonts w:ascii="XO Thames" w:hAnsi="XO Thames"/>
          <w:sz w:val="28"/>
          <w:szCs w:val="28"/>
        </w:rPr>
        <w:t>Руководитель Департамента утверждает План до начала очередного финансового года.</w:t>
      </w:r>
    </w:p>
    <w:p>
      <w:pPr>
        <w:pStyle w:val="Normal"/>
        <w:jc w:val="both"/>
        <w:rPr/>
      </w:pPr>
      <w:bookmarkStart w:id="24" w:name="sub_1009"/>
      <w:bookmarkEnd w:id="24"/>
      <w:r>
        <w:rPr>
          <w:rStyle w:val="Style7"/>
          <w:rFonts w:ascii="XO Thames" w:hAnsi="XO Thames"/>
          <w:sz w:val="28"/>
          <w:szCs w:val="28"/>
        </w:rPr>
        <w:t>9. План должен включать не менее двух аудиторских мероприятий, одно из которых проводится в целях подтверждения достоверности годовой бюджетной отчетности главного администратора (администратора) бюджетных средств, и содержит следующую информацию: пункт Плана, тему аудиторского мероприятия, дату (месяц) начала и окончания аудиторского мероприятия.</w:t>
      </w:r>
    </w:p>
    <w:p>
      <w:pPr>
        <w:pStyle w:val="Normal"/>
        <w:jc w:val="both"/>
        <w:rPr/>
      </w:pPr>
      <w:bookmarkStart w:id="25" w:name="sub_1009_Копия_1"/>
      <w:bookmarkEnd w:id="25"/>
      <w:r>
        <w:rPr>
          <w:rStyle w:val="Style7"/>
          <w:rFonts w:ascii="XO Thames" w:hAnsi="XO Thames"/>
          <w:sz w:val="28"/>
          <w:szCs w:val="28"/>
        </w:rPr>
        <w:t>План доводится до руководителей структурных подразделений и должностных лиц, ответственных за осуществление внутренних бюджетных процедур (далее - Субъекты бюджетных процедур).</w:t>
      </w:r>
    </w:p>
    <w:p>
      <w:pPr>
        <w:pStyle w:val="Normal"/>
        <w:jc w:val="both"/>
        <w:rPr/>
      </w:pPr>
      <w:bookmarkStart w:id="26" w:name="sub_1010"/>
      <w:bookmarkEnd w:id="26"/>
      <w:r>
        <w:rPr>
          <w:rStyle w:val="Style7"/>
          <w:rFonts w:ascii="XO Thames" w:hAnsi="XO Thames"/>
          <w:sz w:val="28"/>
          <w:szCs w:val="28"/>
        </w:rPr>
        <w:t>10. Решение о проведении аудиторского мероприятия оформляется распоряжением Департамента, в котором указывается тема, дата начала аудиторского мероприятия, Должностное лицо.</w:t>
      </w:r>
    </w:p>
    <w:p>
      <w:pPr>
        <w:pStyle w:val="Normal"/>
        <w:jc w:val="both"/>
        <w:rPr/>
      </w:pPr>
      <w:bookmarkStart w:id="27" w:name="sub_1010_Копия_1"/>
      <w:bookmarkEnd w:id="27"/>
      <w:r>
        <w:rPr>
          <w:rStyle w:val="Style7"/>
          <w:rFonts w:ascii="XO Thames" w:hAnsi="XO Thames"/>
          <w:sz w:val="28"/>
          <w:szCs w:val="28"/>
        </w:rPr>
        <w:t>Датой начала аудиторского мероприятия признается дата утверждения его Программы, датой окончания - дата подписания заключения по результатам аудиторского мероприятия руководителем Департамента.</w:t>
      </w:r>
    </w:p>
    <w:p>
      <w:pPr>
        <w:pStyle w:val="Normal"/>
        <w:jc w:val="both"/>
        <w:rPr/>
      </w:pPr>
      <w:bookmarkStart w:id="28" w:name="sub_1011"/>
      <w:bookmarkEnd w:id="28"/>
      <w:r>
        <w:rPr>
          <w:rStyle w:val="Style7"/>
          <w:rFonts w:ascii="XO Thames" w:hAnsi="XO Thames"/>
          <w:sz w:val="28"/>
          <w:szCs w:val="28"/>
        </w:rPr>
        <w:t>11. Решение о внесении изменений в План принимается руководителем Департамента на основании мотивированной докладной записки субъекта внутреннего финансового аудита.</w:t>
      </w:r>
    </w:p>
    <w:p>
      <w:pPr>
        <w:pStyle w:val="Normal"/>
        <w:jc w:val="both"/>
        <w:rPr/>
      </w:pPr>
      <w:bookmarkStart w:id="29" w:name="sub_1012"/>
      <w:bookmarkStart w:id="30" w:name="sub_1011_Копия_1"/>
      <w:bookmarkEnd w:id="29"/>
      <w:bookmarkEnd w:id="30"/>
      <w:r>
        <w:rPr>
          <w:rStyle w:val="Style7"/>
          <w:rFonts w:ascii="XO Thames" w:hAnsi="XO Thames"/>
          <w:sz w:val="28"/>
          <w:szCs w:val="28"/>
        </w:rPr>
        <w:t>12. Должностное лицо, ответственное за проведение аудиторского мероприятия направляет руководителю Департамента предложения о внесении изменений в План по причине невозможности проведения плановых аудиторских мероприятий в связи с:</w:t>
      </w:r>
    </w:p>
    <w:p>
      <w:pPr>
        <w:pStyle w:val="Normal"/>
        <w:jc w:val="both"/>
        <w:rPr/>
      </w:pPr>
      <w:bookmarkStart w:id="31" w:name="sub_1012_Копия_1"/>
      <w:bookmarkEnd w:id="31"/>
      <w:r>
        <w:rPr>
          <w:rStyle w:val="Style7"/>
          <w:rFonts w:ascii="XO Thames" w:hAnsi="XO Thames"/>
          <w:sz w:val="28"/>
          <w:szCs w:val="28"/>
        </w:rPr>
        <w:t>наступлением обстоятельств непреодолимой силы;</w:t>
      </w:r>
    </w:p>
    <w:p>
      <w:pPr>
        <w:pStyle w:val="Normal"/>
        <w:jc w:val="both"/>
        <w:rPr/>
      </w:pPr>
      <w:r>
        <w:rPr>
          <w:rStyle w:val="Style7"/>
          <w:rFonts w:ascii="XO Thames" w:hAnsi="XO Thames"/>
          <w:sz w:val="28"/>
          <w:szCs w:val="28"/>
        </w:rPr>
        <w:t>недостаточностью временных и (или) трудовых ресурсов при необходимости проведения внеплановых аудиторских мероприятий;</w:t>
      </w:r>
    </w:p>
    <w:p>
      <w:pPr>
        <w:pStyle w:val="Normal"/>
        <w:jc w:val="both"/>
        <w:rPr/>
      </w:pPr>
      <w:r>
        <w:rPr>
          <w:rStyle w:val="Style7"/>
          <w:rFonts w:ascii="XO Thames" w:hAnsi="XO Thames"/>
          <w:sz w:val="28"/>
          <w:szCs w:val="28"/>
        </w:rPr>
        <w:t>внесением изменений в законодательные и иные нормативные правовые акты Российской Федерации;</w:t>
      </w:r>
    </w:p>
    <w:p>
      <w:pPr>
        <w:pStyle w:val="Normal"/>
        <w:jc w:val="both"/>
        <w:rPr/>
      </w:pPr>
      <w:r>
        <w:rPr>
          <w:rStyle w:val="Style7"/>
          <w:rFonts w:ascii="XO Thames" w:hAnsi="XO Thames"/>
          <w:sz w:val="28"/>
          <w:szCs w:val="28"/>
        </w:rPr>
        <w:t>выявлением в ходе подготовки аудиторского мероприятия существенных обстоятельств (необходимость изменения темы и (или) даты (месяца) окончания аудиторского мероприятия).</w:t>
      </w:r>
    </w:p>
    <w:p>
      <w:pPr>
        <w:pStyle w:val="Normal"/>
        <w:jc w:val="both"/>
        <w:rPr/>
      </w:pPr>
      <w:bookmarkStart w:id="32" w:name="sub_1013"/>
      <w:bookmarkEnd w:id="32"/>
      <w:r>
        <w:rPr>
          <w:rStyle w:val="Style7"/>
          <w:rFonts w:ascii="XO Thames" w:hAnsi="XO Thames"/>
          <w:sz w:val="28"/>
          <w:szCs w:val="28"/>
        </w:rPr>
        <w:t>13. Внеплановые аудиторские мероприятия проводятся на основании решения руководителя Департамента (далее - Решение), с указанием темы и даты (месяц) окончания указанного мероприятия. Решение оформляется распоряжением Департамента.</w:t>
      </w:r>
    </w:p>
    <w:p>
      <w:pPr>
        <w:pStyle w:val="Normal"/>
        <w:jc w:val="both"/>
        <w:rPr/>
      </w:pPr>
      <w:bookmarkStart w:id="33" w:name="sub_1014"/>
      <w:bookmarkStart w:id="34" w:name="sub_1013_Копия_1"/>
      <w:bookmarkEnd w:id="33"/>
      <w:bookmarkEnd w:id="34"/>
      <w:r>
        <w:rPr>
          <w:rStyle w:val="Style7"/>
          <w:rFonts w:ascii="XO Thames" w:hAnsi="XO Thames"/>
          <w:sz w:val="28"/>
          <w:szCs w:val="28"/>
        </w:rPr>
        <w:t>14. При планировании аудиторского мероприятия (составлении Плана и/или программы аудиторского мероприятия) Должностными лицами субъекта внутреннего финансового аудита учитываются:</w:t>
      </w:r>
    </w:p>
    <w:p>
      <w:pPr>
        <w:pStyle w:val="Normal"/>
        <w:jc w:val="both"/>
        <w:rPr/>
      </w:pPr>
      <w:bookmarkStart w:id="35" w:name="sub_1014_Копия_1"/>
      <w:bookmarkEnd w:id="35"/>
      <w:r>
        <w:rPr>
          <w:rStyle w:val="Style7"/>
          <w:rFonts w:ascii="XO Thames" w:hAnsi="XO Thames"/>
          <w:sz w:val="28"/>
          <w:szCs w:val="28"/>
        </w:rPr>
        <w:t>степень обеспеченности ресурсами, необходимыми для осуществления внутреннего финансового аудита;</w:t>
      </w:r>
    </w:p>
    <w:p>
      <w:pPr>
        <w:pStyle w:val="Normal"/>
        <w:jc w:val="both"/>
        <w:rPr/>
      </w:pPr>
      <w:r>
        <w:rPr>
          <w:rStyle w:val="Style7"/>
          <w:rFonts w:ascii="XO Thames" w:hAnsi="XO Thames"/>
          <w:sz w:val="28"/>
          <w:szCs w:val="28"/>
        </w:rPr>
        <w:t>необходимость резервирования времени на проведение внеплановых аудиторских мероприятий;</w:t>
      </w:r>
    </w:p>
    <w:p>
      <w:pPr>
        <w:pStyle w:val="Normal"/>
        <w:jc w:val="both"/>
        <w:rPr/>
      </w:pPr>
      <w:r>
        <w:rPr>
          <w:rStyle w:val="Style7"/>
          <w:rFonts w:ascii="XO Thames" w:hAnsi="XO Thames"/>
          <w:sz w:val="28"/>
          <w:szCs w:val="28"/>
        </w:rPr>
        <w:t>результаты ранее проведенных аудиторских мероприятий, отраженных в заключениях;</w:t>
      </w:r>
    </w:p>
    <w:p>
      <w:pPr>
        <w:pStyle w:val="Normal"/>
        <w:jc w:val="both"/>
        <w:rPr/>
      </w:pPr>
      <w:r>
        <w:rPr>
          <w:rStyle w:val="Style7"/>
          <w:rFonts w:ascii="XO Thames" w:hAnsi="XO Thames"/>
          <w:sz w:val="28"/>
          <w:szCs w:val="28"/>
        </w:rPr>
        <w:t>возможность совершенствования Должностными лицами субъекта внутреннего финансового аудита совокупности профессиональных знаний, навыков и других компетенций, позволяющих осуществлять внутренний финансовый аудит.</w:t>
      </w:r>
    </w:p>
    <w:p>
      <w:pPr>
        <w:pStyle w:val="Normal"/>
        <w:jc w:val="both"/>
        <w:rPr/>
      </w:pPr>
      <w:bookmarkStart w:id="36" w:name="sub_1015"/>
      <w:bookmarkEnd w:id="36"/>
      <w:r>
        <w:rPr>
          <w:rStyle w:val="Style7"/>
          <w:rFonts w:ascii="XO Thames" w:hAnsi="XO Thames"/>
          <w:sz w:val="28"/>
          <w:szCs w:val="28"/>
        </w:rPr>
        <w:t>15. В целях составления Плана учитываются:</w:t>
      </w:r>
    </w:p>
    <w:p>
      <w:pPr>
        <w:pStyle w:val="Normal"/>
        <w:jc w:val="both"/>
        <w:rPr/>
      </w:pPr>
      <w:bookmarkStart w:id="37" w:name="sub_1015_Копия_1"/>
      <w:bookmarkEnd w:id="37"/>
      <w:r>
        <w:rPr>
          <w:rStyle w:val="Style7"/>
          <w:rFonts w:ascii="XO Thames" w:hAnsi="XO Thames"/>
          <w:sz w:val="28"/>
          <w:szCs w:val="28"/>
        </w:rPr>
        <w:t>информация о выявленных бюджетных рисках, в том числе об их значимости, во взаимосвязи с бюджетными процедурами и/или операциями (действиями) по выполнению бюджетных процедур;</w:t>
      </w:r>
    </w:p>
    <w:p>
      <w:pPr>
        <w:pStyle w:val="Normal"/>
        <w:jc w:val="both"/>
        <w:rPr/>
      </w:pPr>
      <w:r>
        <w:rPr>
          <w:rStyle w:val="Style7"/>
          <w:rFonts w:ascii="XO Thames" w:hAnsi="XO Thames"/>
          <w:sz w:val="28"/>
          <w:szCs w:val="28"/>
        </w:rPr>
        <w:t>информация, указанная в актах, заключениях, представлениях и предписаниях органов государственного финансового контроля за период времени, прошедший с момента предыдущей проверки, а также информация о типовых нарушениях/недостатках, выявленных органами государственного финансового контроля;</w:t>
      </w:r>
    </w:p>
    <w:p>
      <w:pPr>
        <w:pStyle w:val="Normal"/>
        <w:jc w:val="both"/>
        <w:rPr/>
      </w:pPr>
      <w:r>
        <w:rPr>
          <w:rStyle w:val="Style7"/>
          <w:rFonts w:ascii="XO Thames" w:hAnsi="XO Thames"/>
          <w:sz w:val="28"/>
          <w:szCs w:val="28"/>
        </w:rPr>
        <w:t>результаты проведения аудиторских мероприятий, своевременности исполнения аудиторских рекомендаций, выданных по результатам предыдущих аудиторских проверок;</w:t>
      </w:r>
    </w:p>
    <w:p>
      <w:pPr>
        <w:pStyle w:val="Normal"/>
        <w:jc w:val="both"/>
        <w:rPr/>
      </w:pPr>
      <w:r>
        <w:rPr>
          <w:rStyle w:val="Style7"/>
          <w:rFonts w:ascii="XO Thames" w:hAnsi="XO Thames"/>
          <w:sz w:val="28"/>
          <w:szCs w:val="28"/>
        </w:rPr>
        <w:t>другие положения утвержденных федеральных стандартов.</w:t>
      </w:r>
    </w:p>
    <w:p>
      <w:pPr>
        <w:pStyle w:val="Normal"/>
        <w:jc w:val="both"/>
        <w:rPr>
          <w:rFonts w:ascii="XO Thames" w:hAnsi="XO Thames"/>
          <w:sz w:val="28"/>
          <w:szCs w:val="28"/>
        </w:rPr>
      </w:pPr>
      <w:r>
        <w:rPr>
          <w:rFonts w:ascii="XO Thames" w:hAnsi="XO Thames"/>
          <w:sz w:val="28"/>
          <w:szCs w:val="28"/>
        </w:rPr>
      </w:r>
    </w:p>
    <w:p>
      <w:pPr>
        <w:pStyle w:val="Heading1"/>
        <w:ind w:hanging="0" w:start="0"/>
        <w:jc w:val="both"/>
        <w:rPr>
          <w:rFonts w:ascii="XO Thames" w:hAnsi="XO Thames"/>
          <w:sz w:val="28"/>
          <w:szCs w:val="28"/>
        </w:rPr>
      </w:pPr>
      <w:r>
        <w:rPr>
          <w:rFonts w:ascii="XO Thames" w:hAnsi="XO Thames"/>
          <w:sz w:val="28"/>
          <w:szCs w:val="28"/>
        </w:rPr>
        <w:t xml:space="preserve">                              </w:t>
      </w:r>
    </w:p>
    <w:p>
      <w:pPr>
        <w:pStyle w:val="Heading1"/>
        <w:ind w:hanging="0" w:start="0"/>
        <w:jc w:val="both"/>
        <w:rPr>
          <w:rFonts w:ascii="XO Thames" w:hAnsi="XO Thames"/>
          <w:sz w:val="28"/>
          <w:szCs w:val="28"/>
        </w:rPr>
      </w:pPr>
      <w:r>
        <w:rPr>
          <w:rFonts w:ascii="XO Thames" w:hAnsi="XO Thames"/>
          <w:sz w:val="28"/>
          <w:szCs w:val="28"/>
        </w:rPr>
      </w:r>
    </w:p>
    <w:p>
      <w:pPr>
        <w:pStyle w:val="Heading1"/>
        <w:ind w:hanging="0" w:start="0"/>
        <w:jc w:val="both"/>
        <w:rPr>
          <w:rFonts w:ascii="XO Thames" w:hAnsi="XO Thames"/>
          <w:sz w:val="28"/>
          <w:szCs w:val="28"/>
        </w:rPr>
      </w:pPr>
      <w:r>
        <w:rPr>
          <w:rFonts w:ascii="XO Thames" w:hAnsi="XO Thames"/>
          <w:sz w:val="28"/>
          <w:szCs w:val="28"/>
        </w:rPr>
        <w:t xml:space="preserve">                                  </w:t>
      </w:r>
      <w:bookmarkStart w:id="38" w:name="sub_103"/>
      <w:r>
        <w:rPr>
          <w:rFonts w:ascii="XO Thames" w:hAnsi="XO Thames"/>
          <w:sz w:val="28"/>
          <w:szCs w:val="28"/>
        </w:rPr>
        <w:t>Проведение аудиторских мероприятий</w:t>
      </w:r>
    </w:p>
    <w:p>
      <w:pPr>
        <w:pStyle w:val="Normal"/>
        <w:jc w:val="both"/>
        <w:rPr>
          <w:rFonts w:ascii="XO Thames" w:hAnsi="XO Thames"/>
          <w:sz w:val="28"/>
          <w:szCs w:val="28"/>
        </w:rPr>
      </w:pPr>
      <w:r>
        <w:rPr>
          <w:rFonts w:ascii="XO Thames" w:hAnsi="XO Thames"/>
          <w:sz w:val="28"/>
          <w:szCs w:val="28"/>
        </w:rPr>
      </w:r>
      <w:bookmarkEnd w:id="38"/>
    </w:p>
    <w:p>
      <w:pPr>
        <w:pStyle w:val="Normal"/>
        <w:jc w:val="both"/>
        <w:rPr/>
      </w:pPr>
      <w:bookmarkStart w:id="39" w:name="sub_1016"/>
      <w:bookmarkEnd w:id="39"/>
      <w:r>
        <w:rPr>
          <w:rStyle w:val="Style7"/>
          <w:rFonts w:ascii="XO Thames" w:hAnsi="XO Thames"/>
          <w:sz w:val="28"/>
          <w:szCs w:val="28"/>
        </w:rPr>
        <w:t>16. Аудиторское мероприятие проводится в соответствии с утвержденной программой аудиторского мероприятия путем выполнения уполномоченным должностным лицом субъекта внутреннего финансового аудита профессиональных действий (применения совокупности профессиональных знаний, навыков и других компетенций, позволяющих проводить аудиторское мероприятие), в том числе действий по сбору аудиторских доказательств, формированию выводов, предложений и рекомендаций.</w:t>
      </w:r>
    </w:p>
    <w:p>
      <w:pPr>
        <w:pStyle w:val="Normal"/>
        <w:jc w:val="both"/>
        <w:rPr/>
      </w:pPr>
      <w:bookmarkStart w:id="40" w:name="sub_1017"/>
      <w:bookmarkStart w:id="41" w:name="sub_1016_Копия_1"/>
      <w:bookmarkEnd w:id="40"/>
      <w:bookmarkEnd w:id="41"/>
      <w:r>
        <w:rPr>
          <w:rStyle w:val="Style7"/>
          <w:rFonts w:ascii="XO Thames" w:hAnsi="XO Thames"/>
          <w:sz w:val="28"/>
          <w:szCs w:val="28"/>
        </w:rPr>
        <w:t>17. Должностное лицо подписывает сформированную программу аудиторского мероприятия и представляет ее на утверждение руководителю Департамента.</w:t>
      </w:r>
    </w:p>
    <w:p>
      <w:pPr>
        <w:pStyle w:val="Normal"/>
        <w:jc w:val="both"/>
        <w:rPr/>
      </w:pPr>
      <w:bookmarkStart w:id="42" w:name="sub_1018"/>
      <w:bookmarkStart w:id="43" w:name="sub_1017_Копия_1"/>
      <w:bookmarkEnd w:id="42"/>
      <w:bookmarkEnd w:id="43"/>
      <w:r>
        <w:rPr>
          <w:rStyle w:val="Style7"/>
          <w:rFonts w:ascii="XO Thames" w:hAnsi="XO Thames"/>
          <w:sz w:val="28"/>
          <w:szCs w:val="28"/>
        </w:rPr>
        <w:t>18. В целях составления Программы Должностным лицом проводится предварительный анализ документов, фактических данных, информации об организации и выполнении бюджетных процедур, бюджетных рисков во взаимосвязи с операциями/действиями по выполнению бюджетных процедур, являющихся Объектами внутреннего финансового аудита.</w:t>
      </w:r>
    </w:p>
    <w:p>
      <w:pPr>
        <w:pStyle w:val="Normal"/>
        <w:jc w:val="both"/>
        <w:rPr/>
      </w:pPr>
      <w:bookmarkStart w:id="44" w:name="sub_1019"/>
      <w:bookmarkStart w:id="45" w:name="sub_1018_Копия_1"/>
      <w:bookmarkEnd w:id="44"/>
      <w:bookmarkEnd w:id="45"/>
      <w:r>
        <w:rPr>
          <w:rStyle w:val="Style7"/>
          <w:rFonts w:ascii="XO Thames" w:hAnsi="XO Thames"/>
          <w:sz w:val="28"/>
          <w:szCs w:val="28"/>
        </w:rPr>
        <w:t>19. Программа аудиторского мероприятия содержит:</w:t>
      </w:r>
    </w:p>
    <w:p>
      <w:pPr>
        <w:pStyle w:val="Normal"/>
        <w:jc w:val="both"/>
        <w:rPr/>
      </w:pPr>
      <w:bookmarkStart w:id="46" w:name="sub_10191"/>
      <w:bookmarkStart w:id="47" w:name="sub_1019_Копия_1"/>
      <w:bookmarkEnd w:id="46"/>
      <w:bookmarkEnd w:id="47"/>
      <w:r>
        <w:rPr>
          <w:rStyle w:val="Style7"/>
          <w:rFonts w:ascii="XO Thames" w:hAnsi="XO Thames"/>
          <w:sz w:val="28"/>
          <w:szCs w:val="28"/>
        </w:rPr>
        <w:t>а) основание проведения и тему аудиторского мероприятия (пункт плана проведения аудиторских мероприятий или решение о проведении внепланового аудиторского мероприятия);</w:t>
      </w:r>
    </w:p>
    <w:p>
      <w:pPr>
        <w:pStyle w:val="Normal"/>
        <w:jc w:val="both"/>
        <w:rPr/>
      </w:pPr>
      <w:bookmarkStart w:id="48" w:name="sub_10192"/>
      <w:bookmarkStart w:id="49" w:name="sub_10191_Копия_1"/>
      <w:bookmarkEnd w:id="48"/>
      <w:bookmarkEnd w:id="49"/>
      <w:r>
        <w:rPr>
          <w:rStyle w:val="Style7"/>
          <w:rFonts w:ascii="XO Thames" w:hAnsi="XO Thames"/>
          <w:sz w:val="28"/>
          <w:szCs w:val="28"/>
        </w:rPr>
        <w:t>б) сроки проведения аудиторского мероприятия;</w:t>
      </w:r>
    </w:p>
    <w:p>
      <w:pPr>
        <w:pStyle w:val="Normal"/>
        <w:jc w:val="both"/>
        <w:rPr/>
      </w:pPr>
      <w:bookmarkStart w:id="50" w:name="sub_10193"/>
      <w:bookmarkStart w:id="51" w:name="sub_10192_Копия_1"/>
      <w:bookmarkEnd w:id="50"/>
      <w:bookmarkEnd w:id="51"/>
      <w:r>
        <w:rPr>
          <w:rStyle w:val="Style7"/>
          <w:rFonts w:ascii="XO Thames" w:hAnsi="XO Thames"/>
          <w:sz w:val="28"/>
          <w:szCs w:val="28"/>
        </w:rPr>
        <w:t>в) цель (цели) и задачи аудиторского мероприятия;</w:t>
      </w:r>
    </w:p>
    <w:p>
      <w:pPr>
        <w:pStyle w:val="Normal"/>
        <w:jc w:val="both"/>
        <w:rPr/>
      </w:pPr>
      <w:bookmarkStart w:id="52" w:name="sub_10194"/>
      <w:bookmarkStart w:id="53" w:name="sub_10193_Копия_1"/>
      <w:bookmarkEnd w:id="52"/>
      <w:bookmarkEnd w:id="53"/>
      <w:r>
        <w:rPr>
          <w:rStyle w:val="Style7"/>
          <w:rFonts w:ascii="XO Thames" w:hAnsi="XO Thames"/>
          <w:sz w:val="28"/>
          <w:szCs w:val="28"/>
        </w:rPr>
        <w:t>г) методы внутреннего финансового аудита, которые будут применены при проведении аудиторского мероприятия;</w:t>
      </w:r>
    </w:p>
    <w:p>
      <w:pPr>
        <w:pStyle w:val="Normal"/>
        <w:jc w:val="both"/>
        <w:rPr/>
      </w:pPr>
      <w:bookmarkStart w:id="54" w:name="sub_10195"/>
      <w:bookmarkStart w:id="55" w:name="sub_10194_Копия_1"/>
      <w:bookmarkEnd w:id="54"/>
      <w:bookmarkEnd w:id="55"/>
      <w:r>
        <w:rPr>
          <w:rStyle w:val="Style7"/>
          <w:rFonts w:ascii="XO Thames" w:hAnsi="XO Thames"/>
          <w:sz w:val="28"/>
          <w:szCs w:val="28"/>
        </w:rPr>
        <w:t>д) наименование (перечень) объекта(ов) внутреннего финансового аудита;</w:t>
      </w:r>
    </w:p>
    <w:p>
      <w:pPr>
        <w:pStyle w:val="Normal"/>
        <w:jc w:val="both"/>
        <w:rPr/>
      </w:pPr>
      <w:bookmarkStart w:id="56" w:name="sub_10196"/>
      <w:bookmarkStart w:id="57" w:name="sub_10195_Копия_1"/>
      <w:bookmarkEnd w:id="56"/>
      <w:bookmarkEnd w:id="57"/>
      <w:r>
        <w:rPr>
          <w:rStyle w:val="Style7"/>
          <w:rFonts w:ascii="XO Thames" w:hAnsi="XO Thames"/>
          <w:sz w:val="28"/>
          <w:szCs w:val="28"/>
        </w:rPr>
        <w:t>е) перечень вопросов, подлежащих изучению в ходе проведения аудиторского мероприятия;</w:t>
      </w:r>
    </w:p>
    <w:p>
      <w:pPr>
        <w:pStyle w:val="Normal"/>
        <w:jc w:val="both"/>
        <w:rPr/>
      </w:pPr>
      <w:bookmarkStart w:id="58" w:name="sub_10197"/>
      <w:bookmarkStart w:id="59" w:name="sub_10196_Копия_1"/>
      <w:bookmarkEnd w:id="58"/>
      <w:bookmarkEnd w:id="59"/>
      <w:r>
        <w:rPr>
          <w:rStyle w:val="Style7"/>
          <w:rFonts w:ascii="XO Thames" w:hAnsi="XO Thames"/>
          <w:sz w:val="28"/>
          <w:szCs w:val="28"/>
        </w:rPr>
        <w:t>ж) сведения об уполномоченном должностном лице или о руководителе и членах аудиторской группы.</w:t>
      </w:r>
    </w:p>
    <w:p>
      <w:pPr>
        <w:pStyle w:val="Normal"/>
        <w:jc w:val="both"/>
        <w:rPr/>
      </w:pPr>
      <w:bookmarkStart w:id="60" w:name="sub_1020"/>
      <w:bookmarkStart w:id="61" w:name="sub_10197_Копия_1"/>
      <w:bookmarkEnd w:id="60"/>
      <w:bookmarkEnd w:id="61"/>
      <w:r>
        <w:rPr>
          <w:rStyle w:val="Style7"/>
          <w:rFonts w:ascii="XO Thames" w:hAnsi="XO Thames"/>
          <w:sz w:val="28"/>
          <w:szCs w:val="28"/>
        </w:rPr>
        <w:t>20. Руководитель Департамента утверждает Программу в срок не позднее 5 рабочих дней до начала проведения аудиторского мероприятия.</w:t>
      </w:r>
    </w:p>
    <w:p>
      <w:pPr>
        <w:pStyle w:val="Normal"/>
        <w:jc w:val="both"/>
        <w:rPr/>
      </w:pPr>
      <w:bookmarkStart w:id="62" w:name="sub_1021"/>
      <w:bookmarkStart w:id="63" w:name="sub_1020_Копия_1"/>
      <w:bookmarkEnd w:id="62"/>
      <w:bookmarkEnd w:id="63"/>
      <w:r>
        <w:rPr>
          <w:rStyle w:val="Style7"/>
          <w:rFonts w:ascii="XO Thames" w:hAnsi="XO Thames"/>
          <w:sz w:val="28"/>
          <w:szCs w:val="28"/>
        </w:rPr>
        <w:t>21. При проведении аудиторского мероприятия Должностное лицо может подготовить и представить на согласование руководителю Департамента предложения по изменению программы аудиторского мероприятия.</w:t>
      </w:r>
    </w:p>
    <w:p>
      <w:pPr>
        <w:pStyle w:val="Normal"/>
        <w:jc w:val="both"/>
        <w:rPr/>
      </w:pPr>
      <w:bookmarkStart w:id="64" w:name="sub_1021_Копия_1"/>
      <w:bookmarkEnd w:id="64"/>
      <w:r>
        <w:rPr>
          <w:rStyle w:val="Style7"/>
          <w:rFonts w:ascii="XO Thames" w:hAnsi="XO Thames"/>
          <w:sz w:val="28"/>
          <w:szCs w:val="28"/>
        </w:rPr>
        <w:t>Изменения в программу аудиторского мероприятия утверждаются руководителем Департамента в срок не позднее 5 рабочих дней с даты представления предложений по изменению программы аудиторского мероприятия.</w:t>
      </w:r>
    </w:p>
    <w:p>
      <w:pPr>
        <w:pStyle w:val="Normal"/>
        <w:jc w:val="both"/>
        <w:rPr/>
      </w:pPr>
      <w:bookmarkStart w:id="65" w:name="sub_1022"/>
      <w:bookmarkEnd w:id="65"/>
      <w:r>
        <w:rPr>
          <w:rStyle w:val="Style7"/>
          <w:rFonts w:ascii="XO Thames" w:hAnsi="XO Thames"/>
          <w:sz w:val="28"/>
          <w:szCs w:val="28"/>
        </w:rPr>
        <w:t>22. Утвержденная Программа и/или изменения в Программу представляются для ознакомления Субъектам бюджетных процедур.</w:t>
      </w:r>
    </w:p>
    <w:p>
      <w:pPr>
        <w:pStyle w:val="Normal"/>
        <w:jc w:val="both"/>
        <w:rPr/>
      </w:pPr>
      <w:bookmarkStart w:id="66" w:name="sub_1023"/>
      <w:bookmarkStart w:id="67" w:name="sub_1022_Копия_1"/>
      <w:bookmarkEnd w:id="66"/>
      <w:bookmarkEnd w:id="67"/>
      <w:r>
        <w:rPr>
          <w:rStyle w:val="Style7"/>
          <w:rFonts w:ascii="XO Thames" w:hAnsi="XO Thames"/>
          <w:sz w:val="28"/>
          <w:szCs w:val="28"/>
        </w:rPr>
        <w:t>23. Местом проведения аудиторского мероприятия могут быть как помещения и территории, занимаемые Субъектами бюджетных процедур, так и помещение, занимаемое Должностным лицом. Выбор мест проведения аудиторского мероприятия для осуществления отдельных пунктов Программы осуществляет Должностное лицо при составлении Программы.</w:t>
      </w:r>
    </w:p>
    <w:p>
      <w:pPr>
        <w:pStyle w:val="Normal"/>
        <w:jc w:val="both"/>
        <w:rPr/>
      </w:pPr>
      <w:bookmarkStart w:id="68" w:name="sub_1024"/>
      <w:bookmarkStart w:id="69" w:name="sub_1023_Копия_1"/>
      <w:bookmarkEnd w:id="68"/>
      <w:bookmarkEnd w:id="69"/>
      <w:r>
        <w:rPr>
          <w:rStyle w:val="Style7"/>
          <w:rFonts w:ascii="XO Thames" w:hAnsi="XO Thames"/>
          <w:sz w:val="28"/>
          <w:szCs w:val="28"/>
        </w:rPr>
        <w:t>24. При проведении аудиторского мероприятия должны быть собраны достаточные и уместные (для достижения целей аудиторского мероприятия, обоснования выводов и предложений) аудиторские доказательства.</w:t>
      </w:r>
    </w:p>
    <w:p>
      <w:pPr>
        <w:pStyle w:val="Normal"/>
        <w:jc w:val="both"/>
        <w:rPr/>
      </w:pPr>
      <w:bookmarkStart w:id="70" w:name="sub_1025"/>
      <w:bookmarkStart w:id="71" w:name="sub_1024_Копия_1"/>
      <w:bookmarkEnd w:id="70"/>
      <w:bookmarkEnd w:id="71"/>
      <w:r>
        <w:rPr>
          <w:rStyle w:val="Style7"/>
          <w:rFonts w:ascii="XO Thames" w:hAnsi="XO Thames"/>
          <w:sz w:val="28"/>
          <w:szCs w:val="28"/>
        </w:rPr>
        <w:t>25. При проведении аудиторского мероприятия может использоваться выборка, предназначенная для того, чтобы на основании изучения менее чем 100% элементов общего набора действий (операций), документов, данных, информации (далее - генеральной совокупности), из которых производится выборка, сделать выводы относительно всей генеральной совокупности.</w:t>
      </w:r>
    </w:p>
    <w:p>
      <w:pPr>
        <w:pStyle w:val="Normal"/>
        <w:jc w:val="both"/>
        <w:rPr/>
      </w:pPr>
      <w:bookmarkStart w:id="72" w:name="sub_1026"/>
      <w:bookmarkStart w:id="73" w:name="sub_1025_Копия_1"/>
      <w:bookmarkEnd w:id="72"/>
      <w:bookmarkEnd w:id="73"/>
      <w:r>
        <w:rPr>
          <w:rStyle w:val="Style7"/>
          <w:rFonts w:ascii="XO Thames" w:hAnsi="XO Thames"/>
          <w:sz w:val="28"/>
          <w:szCs w:val="28"/>
        </w:rPr>
        <w:t>26. Выборка может быть проведена одним из следующих способов:</w:t>
      </w:r>
    </w:p>
    <w:p>
      <w:pPr>
        <w:pStyle w:val="Normal"/>
        <w:jc w:val="both"/>
        <w:rPr/>
      </w:pPr>
      <w:bookmarkStart w:id="74" w:name="sub_10261"/>
      <w:bookmarkStart w:id="75" w:name="sub_1026_Копия_1"/>
      <w:bookmarkEnd w:id="74"/>
      <w:bookmarkEnd w:id="75"/>
      <w:r>
        <w:rPr>
          <w:rStyle w:val="Style7"/>
          <w:rFonts w:ascii="XO Thames" w:hAnsi="XO Thames"/>
          <w:sz w:val="28"/>
          <w:szCs w:val="28"/>
        </w:rPr>
        <w:t>а) статистическая выборка, при которой элементы для изучения выбираются из генеральной совокупности случайным способом или с использованием теории вероятности;</w:t>
      </w:r>
    </w:p>
    <w:p>
      <w:pPr>
        <w:pStyle w:val="Normal"/>
        <w:jc w:val="both"/>
        <w:rPr/>
      </w:pPr>
      <w:bookmarkStart w:id="76" w:name="sub_10262"/>
      <w:bookmarkStart w:id="77" w:name="sub_10261_Копия_1"/>
      <w:bookmarkEnd w:id="76"/>
      <w:bookmarkEnd w:id="77"/>
      <w:r>
        <w:rPr>
          <w:rStyle w:val="Style7"/>
          <w:rFonts w:ascii="XO Thames" w:hAnsi="XO Thames"/>
          <w:sz w:val="28"/>
          <w:szCs w:val="28"/>
        </w:rPr>
        <w:t>б) нестатистическая выборка - не соответствующая характеристикам статистической выборки.</w:t>
      </w:r>
    </w:p>
    <w:p>
      <w:pPr>
        <w:pStyle w:val="Normal"/>
        <w:jc w:val="both"/>
        <w:rPr/>
      </w:pPr>
      <w:bookmarkStart w:id="78" w:name="sub_10262_Копия_1"/>
      <w:bookmarkEnd w:id="78"/>
      <w:r>
        <w:rPr>
          <w:rStyle w:val="Style7"/>
          <w:rFonts w:ascii="XO Thames" w:hAnsi="XO Thames"/>
          <w:sz w:val="28"/>
          <w:szCs w:val="28"/>
        </w:rPr>
        <w:t>Применяемый для изучения объектов внутреннего финансового аудита способ формирования аудиторской выборки должен обеспечить получение обоснованных, надежных и достаточных аудиторских доказательств.</w:t>
      </w:r>
    </w:p>
    <w:p>
      <w:pPr>
        <w:pStyle w:val="Normal"/>
        <w:jc w:val="both"/>
        <w:rPr>
          <w:rFonts w:ascii="XO Thames" w:hAnsi="XO Thames"/>
          <w:sz w:val="28"/>
          <w:szCs w:val="28"/>
        </w:rPr>
      </w:pPr>
      <w:r>
        <w:rPr>
          <w:rFonts w:ascii="XO Thames" w:hAnsi="XO Thames"/>
          <w:sz w:val="28"/>
          <w:szCs w:val="28"/>
        </w:rPr>
      </w:r>
    </w:p>
    <w:p>
      <w:pPr>
        <w:pStyle w:val="Heading1"/>
        <w:ind w:hanging="0" w:start="0"/>
        <w:jc w:val="both"/>
        <w:rPr>
          <w:rFonts w:ascii="XO Thames" w:hAnsi="XO Thames"/>
          <w:sz w:val="28"/>
          <w:szCs w:val="28"/>
        </w:rPr>
      </w:pPr>
      <w:r>
        <w:rPr>
          <w:rFonts w:ascii="XO Thames" w:hAnsi="XO Thames"/>
          <w:sz w:val="28"/>
          <w:szCs w:val="28"/>
        </w:rPr>
        <w:t xml:space="preserve">                                 </w:t>
      </w:r>
      <w:bookmarkStart w:id="79" w:name="sub_104"/>
      <w:r>
        <w:rPr>
          <w:rFonts w:ascii="XO Thames" w:hAnsi="XO Thames"/>
          <w:sz w:val="28"/>
          <w:szCs w:val="28"/>
        </w:rPr>
        <w:t>Документирование аудиторских мероприятий</w:t>
      </w:r>
    </w:p>
    <w:p>
      <w:pPr>
        <w:pStyle w:val="Normal"/>
        <w:jc w:val="both"/>
        <w:rPr>
          <w:rFonts w:ascii="XO Thames" w:hAnsi="XO Thames"/>
          <w:sz w:val="28"/>
          <w:szCs w:val="28"/>
        </w:rPr>
      </w:pPr>
      <w:r>
        <w:rPr>
          <w:rFonts w:ascii="XO Thames" w:hAnsi="XO Thames"/>
          <w:sz w:val="28"/>
          <w:szCs w:val="28"/>
        </w:rPr>
      </w:r>
      <w:bookmarkEnd w:id="79"/>
    </w:p>
    <w:p>
      <w:pPr>
        <w:pStyle w:val="Normal"/>
        <w:jc w:val="both"/>
        <w:rPr/>
      </w:pPr>
      <w:bookmarkStart w:id="80" w:name="sub_1027"/>
      <w:bookmarkEnd w:id="80"/>
      <w:r>
        <w:rPr>
          <w:rStyle w:val="Style7"/>
          <w:rFonts w:ascii="XO Thames" w:hAnsi="XO Thames"/>
          <w:sz w:val="28"/>
          <w:szCs w:val="28"/>
        </w:rPr>
        <w:t>27. При проведении аудиторской проверки формируется рабочая документация, которая может вестись и храниться в электронном виде и на бумажных носителях.</w:t>
      </w:r>
    </w:p>
    <w:p>
      <w:pPr>
        <w:pStyle w:val="Normal"/>
        <w:jc w:val="both"/>
        <w:rPr/>
      </w:pPr>
      <w:bookmarkStart w:id="81" w:name="sub_1028"/>
      <w:bookmarkStart w:id="82" w:name="sub_1027_Копия_1"/>
      <w:bookmarkEnd w:id="81"/>
      <w:bookmarkEnd w:id="82"/>
      <w:r>
        <w:rPr>
          <w:rStyle w:val="Style7"/>
          <w:rFonts w:ascii="XO Thames" w:hAnsi="XO Thames"/>
          <w:sz w:val="28"/>
          <w:szCs w:val="28"/>
        </w:rPr>
        <w:t>28. Рабочая документация должна подтверждать, что объекты внутреннего финансового аудита исследованы в соответствии с Программой этого аудиторского мероприятия; собраны аудиторские доказательства (документы, данные, информация), достаточные и уместные для обоснования выводов, рекомендаций и формирования заключения по результатам проведенного аудиторского мероприятия.</w:t>
      </w:r>
    </w:p>
    <w:p>
      <w:pPr>
        <w:pStyle w:val="Normal"/>
        <w:jc w:val="both"/>
        <w:rPr/>
      </w:pPr>
      <w:bookmarkStart w:id="83" w:name="sub_1029"/>
      <w:bookmarkStart w:id="84" w:name="sub_1028_Копия_1"/>
      <w:bookmarkEnd w:id="83"/>
      <w:bookmarkEnd w:id="84"/>
      <w:r>
        <w:rPr>
          <w:rStyle w:val="Style7"/>
          <w:rFonts w:ascii="XO Thames" w:hAnsi="XO Thames"/>
          <w:sz w:val="28"/>
          <w:szCs w:val="28"/>
        </w:rPr>
        <w:t>29. Рабочая документация должна быть сформирована до окончания аудиторского мероприятия.</w:t>
      </w:r>
    </w:p>
    <w:p>
      <w:pPr>
        <w:pStyle w:val="Normal"/>
        <w:jc w:val="both"/>
        <w:rPr>
          <w:rFonts w:ascii="XO Thames" w:hAnsi="XO Thames"/>
          <w:sz w:val="28"/>
          <w:szCs w:val="28"/>
        </w:rPr>
      </w:pPr>
      <w:r>
        <w:rPr>
          <w:rFonts w:ascii="XO Thames" w:hAnsi="XO Thames"/>
          <w:sz w:val="28"/>
          <w:szCs w:val="28"/>
        </w:rPr>
      </w:r>
      <w:bookmarkStart w:id="85" w:name="sub_1029_Копия_1"/>
      <w:bookmarkStart w:id="86" w:name="sub_1029_Копия_1"/>
      <w:bookmarkEnd w:id="86"/>
    </w:p>
    <w:p>
      <w:pPr>
        <w:pStyle w:val="Heading1"/>
        <w:ind w:hanging="0" w:start="0"/>
        <w:jc w:val="both"/>
        <w:rPr>
          <w:rFonts w:ascii="XO Thames" w:hAnsi="XO Thames"/>
          <w:sz w:val="28"/>
          <w:szCs w:val="28"/>
        </w:rPr>
      </w:pPr>
      <w:r>
        <w:rPr>
          <w:rFonts w:ascii="XO Thames" w:hAnsi="XO Thames"/>
          <w:sz w:val="28"/>
          <w:szCs w:val="28"/>
        </w:rPr>
        <w:t xml:space="preserve">                          </w:t>
      </w:r>
      <w:bookmarkStart w:id="87" w:name="sub_105"/>
      <w:r>
        <w:rPr>
          <w:rFonts w:ascii="XO Thames" w:hAnsi="XO Thames"/>
          <w:sz w:val="28"/>
          <w:szCs w:val="28"/>
        </w:rPr>
        <w:t>Хранение рабочей документации аудиторских мероприятий</w:t>
      </w:r>
    </w:p>
    <w:p>
      <w:pPr>
        <w:pStyle w:val="Normal"/>
        <w:jc w:val="both"/>
        <w:rPr>
          <w:rFonts w:ascii="XO Thames" w:hAnsi="XO Thames"/>
          <w:sz w:val="28"/>
          <w:szCs w:val="28"/>
        </w:rPr>
      </w:pPr>
      <w:r>
        <w:rPr>
          <w:rFonts w:ascii="XO Thames" w:hAnsi="XO Thames"/>
          <w:sz w:val="28"/>
          <w:szCs w:val="28"/>
        </w:rPr>
      </w:r>
      <w:bookmarkEnd w:id="87"/>
    </w:p>
    <w:p>
      <w:pPr>
        <w:pStyle w:val="Normal"/>
        <w:jc w:val="both"/>
        <w:rPr/>
      </w:pPr>
      <w:bookmarkStart w:id="88" w:name="sub_1030"/>
      <w:bookmarkEnd w:id="88"/>
      <w:r>
        <w:rPr>
          <w:rStyle w:val="Style7"/>
          <w:rFonts w:ascii="XO Thames" w:hAnsi="XO Thames"/>
          <w:sz w:val="28"/>
          <w:szCs w:val="28"/>
        </w:rPr>
        <w:t>30. К рабочей документации аудиторских мероприятий (далее - рабочая документация) относятся рабочие документы и материалы, подготавливаемые субъектом внутреннего финансового аудита, получаемые и хранимые им в связи с проведением аудита. Рабочая документация может быть представлена в виде данных, зафиксированных на бумаге, фотопленке, в электронном виде или в другой форме.</w:t>
      </w:r>
    </w:p>
    <w:p>
      <w:pPr>
        <w:pStyle w:val="Normal"/>
        <w:jc w:val="both"/>
        <w:rPr/>
      </w:pPr>
      <w:bookmarkStart w:id="89" w:name="sub_1030_Копия_1"/>
      <w:bookmarkEnd w:id="89"/>
      <w:r>
        <w:rPr>
          <w:rStyle w:val="Style7"/>
          <w:rFonts w:ascii="XO Thames" w:hAnsi="XO Thames"/>
          <w:sz w:val="28"/>
          <w:szCs w:val="28"/>
        </w:rPr>
        <w:t>Хранение рабочей документации осуществляется субъектом внутреннего финансового аудита.</w:t>
      </w:r>
    </w:p>
    <w:p>
      <w:pPr>
        <w:pStyle w:val="Normal"/>
        <w:jc w:val="both"/>
        <w:rPr/>
      </w:pPr>
      <w:r>
        <w:rPr>
          <w:rStyle w:val="Style7"/>
          <w:rFonts w:ascii="XO Thames" w:hAnsi="XO Thames"/>
          <w:sz w:val="28"/>
          <w:szCs w:val="28"/>
        </w:rPr>
        <w:t>Субъект внутреннего финансового аудита составляет рабочие документы в достаточно полной и подробной форме, необходимой для обеспечения общего понимания аудита.</w:t>
      </w:r>
    </w:p>
    <w:p>
      <w:pPr>
        <w:pStyle w:val="Normal"/>
        <w:jc w:val="both"/>
        <w:rPr/>
      </w:pPr>
      <w:r>
        <w:rPr>
          <w:rStyle w:val="Style7"/>
          <w:rFonts w:ascii="XO Thames" w:hAnsi="XO Thames"/>
          <w:sz w:val="28"/>
          <w:szCs w:val="28"/>
        </w:rPr>
        <w:t>Рабочая документация должна храниться скомплектованной в папки, заведенные для каждого аудиторского мероприятия.</w:t>
      </w:r>
    </w:p>
    <w:p>
      <w:pPr>
        <w:pStyle w:val="Normal"/>
        <w:jc w:val="both"/>
        <w:rPr/>
      </w:pPr>
      <w:r>
        <w:rPr>
          <w:rStyle w:val="Style7"/>
          <w:rFonts w:ascii="XO Thames" w:hAnsi="XO Thames"/>
          <w:sz w:val="28"/>
          <w:szCs w:val="28"/>
        </w:rPr>
        <w:t>Рабочая документация в папках располагается в соответствии с вопросами Программы аудиторского мероприятия.</w:t>
      </w:r>
    </w:p>
    <w:p>
      <w:pPr>
        <w:pStyle w:val="Normal"/>
        <w:jc w:val="both"/>
        <w:rPr/>
      </w:pPr>
      <w:r>
        <w:rPr>
          <w:rStyle w:val="Style7"/>
          <w:rFonts w:ascii="XO Thames" w:hAnsi="XO Thames"/>
          <w:sz w:val="28"/>
          <w:szCs w:val="28"/>
        </w:rPr>
        <w:t>Рабочая документация должна храниться в сброшюрованном виде (папки с металлической скобой), страницы пронумерованы, на титульном листе папки указывается: год проведения, порядковый номер и наименование аудиторского мероприятия, количество листов в папке.</w:t>
      </w:r>
    </w:p>
    <w:p>
      <w:pPr>
        <w:pStyle w:val="Normal"/>
        <w:jc w:val="both"/>
        <w:rPr/>
      </w:pPr>
      <w:bookmarkStart w:id="90" w:name="sub_1031"/>
      <w:bookmarkEnd w:id="90"/>
      <w:r>
        <w:rPr>
          <w:rStyle w:val="Style7"/>
          <w:rFonts w:ascii="XO Thames" w:hAnsi="XO Thames"/>
          <w:sz w:val="28"/>
          <w:szCs w:val="28"/>
        </w:rPr>
        <w:t>31. Доступ к рабочей документации имеет только субъект внутреннего финансового аудита.</w:t>
      </w:r>
    </w:p>
    <w:p>
      <w:pPr>
        <w:pStyle w:val="Normal"/>
        <w:jc w:val="both"/>
        <w:rPr/>
      </w:pPr>
      <w:bookmarkStart w:id="91" w:name="sub_1032"/>
      <w:bookmarkStart w:id="92" w:name="sub_1031_Копия_1"/>
      <w:bookmarkEnd w:id="91"/>
      <w:bookmarkEnd w:id="92"/>
      <w:r>
        <w:rPr>
          <w:rStyle w:val="Style7"/>
          <w:rFonts w:ascii="XO Thames" w:hAnsi="XO Thames"/>
          <w:sz w:val="28"/>
          <w:szCs w:val="28"/>
        </w:rPr>
        <w:t>32. Рабочая документация должна храниться в архиве Департамента (металлический шкаф, сейф с замком) не менее 5 лет.</w:t>
      </w:r>
    </w:p>
    <w:p>
      <w:pPr>
        <w:pStyle w:val="Normal"/>
        <w:jc w:val="both"/>
        <w:rPr/>
      </w:pPr>
      <w:bookmarkStart w:id="93" w:name="sub_1032_Копия_1"/>
      <w:bookmarkEnd w:id="93"/>
      <w:r>
        <w:rPr>
          <w:rStyle w:val="Style7"/>
          <w:rFonts w:ascii="XO Thames" w:hAnsi="XO Thames"/>
          <w:sz w:val="28"/>
          <w:szCs w:val="28"/>
        </w:rPr>
        <w:t>Департамент обязан обеспечить сохранность аудиторской документации: выделить металлический шкаф/сейф, закрывающийся на замок.</w:t>
      </w:r>
    </w:p>
    <w:p>
      <w:pPr>
        <w:pStyle w:val="Normal"/>
        <w:jc w:val="both"/>
        <w:rPr/>
      </w:pPr>
      <w:bookmarkStart w:id="94" w:name="sub_1033"/>
      <w:bookmarkEnd w:id="94"/>
      <w:r>
        <w:rPr>
          <w:rStyle w:val="Style7"/>
          <w:rFonts w:ascii="XO Thames" w:hAnsi="XO Thames"/>
          <w:sz w:val="28"/>
          <w:szCs w:val="28"/>
        </w:rPr>
        <w:t>33. Ответственным за обеспечение безопасности документов внутреннего аудита является субъект внутреннего финансового аудита.</w:t>
      </w:r>
    </w:p>
    <w:p>
      <w:pPr>
        <w:pStyle w:val="Normal"/>
        <w:jc w:val="both"/>
        <w:rPr/>
      </w:pPr>
      <w:bookmarkStart w:id="95" w:name="sub_1034"/>
      <w:bookmarkStart w:id="96" w:name="sub_1033_Копия_1"/>
      <w:bookmarkEnd w:id="95"/>
      <w:bookmarkEnd w:id="96"/>
      <w:r>
        <w:rPr>
          <w:rStyle w:val="Style7"/>
          <w:rFonts w:ascii="XO Thames" w:hAnsi="XO Thames"/>
          <w:sz w:val="28"/>
          <w:szCs w:val="28"/>
        </w:rPr>
        <w:t>34. Изъятие рабочей документации может производиться только уполномоченными на то органами в случаях, установленных законодательством Российской Федерации.</w:t>
      </w:r>
    </w:p>
    <w:p>
      <w:pPr>
        <w:pStyle w:val="Normal"/>
        <w:jc w:val="both"/>
        <w:rPr/>
      </w:pPr>
      <w:bookmarkStart w:id="97" w:name="sub_1034_Копия_1"/>
      <w:bookmarkEnd w:id="97"/>
      <w:r>
        <w:rPr>
          <w:rStyle w:val="Style7"/>
          <w:rFonts w:ascii="XO Thames" w:hAnsi="XO Thames"/>
          <w:sz w:val="28"/>
          <w:szCs w:val="28"/>
        </w:rPr>
        <w:t>Вышеизложенные положения обязательны для выполнения и соблюдения Должностными лицами субъекта внутреннего финансового аудита.</w:t>
      </w:r>
    </w:p>
    <w:p>
      <w:pPr>
        <w:pStyle w:val="Normal"/>
        <w:jc w:val="both"/>
        <w:rPr>
          <w:rFonts w:ascii="XO Thames" w:hAnsi="XO Thames"/>
          <w:sz w:val="28"/>
          <w:szCs w:val="28"/>
        </w:rPr>
      </w:pPr>
      <w:r>
        <w:rPr>
          <w:rFonts w:ascii="XO Thames" w:hAnsi="XO Thames"/>
          <w:sz w:val="28"/>
          <w:szCs w:val="28"/>
        </w:rPr>
      </w:r>
    </w:p>
    <w:p>
      <w:pPr>
        <w:pStyle w:val="Heading1"/>
        <w:ind w:hanging="0" w:start="0"/>
        <w:jc w:val="center"/>
        <w:rPr>
          <w:rFonts w:ascii="XO Thames" w:hAnsi="XO Thames"/>
          <w:sz w:val="28"/>
          <w:szCs w:val="28"/>
        </w:rPr>
      </w:pPr>
      <w:bookmarkStart w:id="98" w:name="sub_106"/>
      <w:bookmarkEnd w:id="98"/>
      <w:r>
        <w:rPr>
          <w:rFonts w:ascii="XO Thames" w:hAnsi="XO Thames"/>
          <w:sz w:val="28"/>
          <w:szCs w:val="28"/>
        </w:rPr>
        <w:t>Основания и сроки приостановления и/или продления аудиторских мероприятий</w:t>
      </w:r>
    </w:p>
    <w:p>
      <w:pPr>
        <w:pStyle w:val="Normal"/>
        <w:jc w:val="both"/>
        <w:rPr>
          <w:rFonts w:ascii="XO Thames" w:hAnsi="XO Thames"/>
          <w:sz w:val="28"/>
          <w:szCs w:val="28"/>
        </w:rPr>
      </w:pPr>
      <w:r>
        <w:rPr>
          <w:rFonts w:ascii="XO Thames" w:hAnsi="XO Thames"/>
          <w:sz w:val="28"/>
          <w:szCs w:val="28"/>
        </w:rPr>
      </w:r>
      <w:bookmarkStart w:id="99" w:name="sub_106_Копия_1"/>
      <w:bookmarkStart w:id="100" w:name="sub_106_Копия_1"/>
      <w:bookmarkEnd w:id="100"/>
    </w:p>
    <w:p>
      <w:pPr>
        <w:pStyle w:val="Normal"/>
        <w:jc w:val="both"/>
        <w:rPr/>
      </w:pPr>
      <w:bookmarkStart w:id="101" w:name="sub_1035"/>
      <w:bookmarkEnd w:id="101"/>
      <w:r>
        <w:rPr>
          <w:rStyle w:val="Style7"/>
          <w:rFonts w:ascii="XO Thames" w:hAnsi="XO Thames"/>
          <w:sz w:val="28"/>
          <w:szCs w:val="28"/>
        </w:rPr>
        <w:t>35. В случае возникновения обстоятельств, требующих приостановления (при наличии обстоятельств, при которых невозможно дальнейшее проведение аудиторского мероприятия) или продления аудиторского мероприятия, субъект внутреннего финансового аудита направляет руководителю Департамента (либо лицу, им уполномоченному) служебную записку с изложением обстоятельств и срока предлагаемого приостановления (продления) данного мероприятия.</w:t>
      </w:r>
    </w:p>
    <w:p>
      <w:pPr>
        <w:pStyle w:val="Normal"/>
        <w:jc w:val="both"/>
        <w:rPr/>
      </w:pPr>
      <w:bookmarkStart w:id="102" w:name="sub_1036"/>
      <w:bookmarkStart w:id="103" w:name="sub_1035_Копия_1"/>
      <w:bookmarkEnd w:id="102"/>
      <w:bookmarkEnd w:id="103"/>
      <w:r>
        <w:rPr>
          <w:rStyle w:val="Style7"/>
          <w:rFonts w:ascii="XO Thames" w:hAnsi="XO Thames"/>
          <w:sz w:val="28"/>
          <w:szCs w:val="28"/>
        </w:rPr>
        <w:t>36. Основаниями для приостановления проведения аудиторского мероприятия являются:</w:t>
      </w:r>
    </w:p>
    <w:p>
      <w:pPr>
        <w:pStyle w:val="Normal"/>
        <w:jc w:val="both"/>
        <w:rPr/>
      </w:pPr>
      <w:bookmarkStart w:id="104" w:name="sub_10361"/>
      <w:bookmarkStart w:id="105" w:name="sub_1036_Копия_1"/>
      <w:bookmarkEnd w:id="104"/>
      <w:bookmarkEnd w:id="105"/>
      <w:r>
        <w:rPr>
          <w:rStyle w:val="Style7"/>
          <w:rFonts w:ascii="XO Thames" w:hAnsi="XO Thames"/>
          <w:sz w:val="28"/>
          <w:szCs w:val="28"/>
        </w:rPr>
        <w:t>а) отсутствие или неудовлетворительное состояние бюджетного (бухгалтерского) учета у субъекта бюджетной процедуры - на период восстановления документов, необходимых для проведения аудиторского мероприятия, а также приведения субъектом бюджетной процедуры в надлежащее состояние документов учета и отчетности;</w:t>
      </w:r>
    </w:p>
    <w:p>
      <w:pPr>
        <w:pStyle w:val="Normal"/>
        <w:jc w:val="both"/>
        <w:rPr/>
      </w:pPr>
      <w:bookmarkStart w:id="106" w:name="sub_10362"/>
      <w:bookmarkStart w:id="107" w:name="sub_10361_Копия_1"/>
      <w:bookmarkEnd w:id="106"/>
      <w:bookmarkEnd w:id="107"/>
      <w:r>
        <w:rPr>
          <w:rStyle w:val="Style7"/>
          <w:rFonts w:ascii="XO Thames" w:hAnsi="XO Thames"/>
          <w:sz w:val="28"/>
          <w:szCs w:val="28"/>
        </w:rPr>
        <w:t>б) непредставление субъектом бюджетной процедуры документов, материалов и информации, необходимых для проведения аудиторского мероприятия, а также представление неполного комплекта таких документов, материалов и информации, воспрепятствование проведению аудиторского мероприятия и (или) уклонение от проведения аудиторской проверки - на период устранения перечисленных обстоятельств.</w:t>
      </w:r>
    </w:p>
    <w:p>
      <w:pPr>
        <w:pStyle w:val="Normal"/>
        <w:jc w:val="both"/>
        <w:rPr/>
      </w:pPr>
      <w:bookmarkStart w:id="108" w:name="sub_1037"/>
      <w:bookmarkStart w:id="109" w:name="sub_10362_Копия_1"/>
      <w:bookmarkEnd w:id="108"/>
      <w:bookmarkEnd w:id="109"/>
      <w:r>
        <w:rPr>
          <w:rStyle w:val="Style7"/>
          <w:rFonts w:ascii="XO Thames" w:hAnsi="XO Thames"/>
          <w:sz w:val="28"/>
          <w:szCs w:val="28"/>
        </w:rPr>
        <w:t>37. Срок приостановления (продления) аудиторского мероприятия определяется в каждом конкретном случае, исходя из целей, которые должны быть достигнуты в период его приостановления (продления), но не может превышать 60 календарных дней.</w:t>
      </w:r>
    </w:p>
    <w:p>
      <w:pPr>
        <w:pStyle w:val="Normal"/>
        <w:jc w:val="both"/>
        <w:rPr/>
      </w:pPr>
      <w:bookmarkStart w:id="110" w:name="sub_1038"/>
      <w:bookmarkStart w:id="111" w:name="sub_1037_Копия_1"/>
      <w:bookmarkEnd w:id="110"/>
      <w:bookmarkEnd w:id="111"/>
      <w:r>
        <w:rPr>
          <w:rStyle w:val="Style7"/>
          <w:rFonts w:ascii="XO Thames" w:hAnsi="XO Thames"/>
          <w:sz w:val="28"/>
          <w:szCs w:val="28"/>
        </w:rPr>
        <w:t>38. Решение о приостановлении (продлении) аудиторского мероприятия, принятое руководителем Департамента в соответствии с мотивированной докладной запиской субъекта внутреннего финансового аудита, оформляется распоряжением Департамента.</w:t>
      </w:r>
    </w:p>
    <w:p>
      <w:pPr>
        <w:pStyle w:val="Normal"/>
        <w:jc w:val="both"/>
        <w:rPr/>
      </w:pPr>
      <w:bookmarkStart w:id="112" w:name="sub_1039"/>
      <w:bookmarkStart w:id="113" w:name="sub_1038_Копия_1"/>
      <w:bookmarkEnd w:id="112"/>
      <w:bookmarkEnd w:id="113"/>
      <w:r>
        <w:rPr>
          <w:rStyle w:val="Style7"/>
          <w:rFonts w:ascii="XO Thames" w:hAnsi="XO Thames"/>
          <w:sz w:val="28"/>
          <w:szCs w:val="28"/>
        </w:rPr>
        <w:t>39. После устранения причин приостановления аудиторского мероприятия субъект внутреннего финансового аудита возобновляет его проведение в сроки, устанавливаемые распоряжением Департамента.</w:t>
      </w:r>
    </w:p>
    <w:p>
      <w:pPr>
        <w:pStyle w:val="Normal"/>
        <w:jc w:val="both"/>
        <w:rPr>
          <w:rFonts w:ascii="XO Thames" w:hAnsi="XO Thames"/>
          <w:sz w:val="28"/>
          <w:szCs w:val="28"/>
        </w:rPr>
      </w:pPr>
      <w:r>
        <w:rPr>
          <w:rFonts w:ascii="XO Thames" w:hAnsi="XO Thames"/>
          <w:sz w:val="28"/>
          <w:szCs w:val="28"/>
        </w:rPr>
      </w:r>
      <w:bookmarkStart w:id="114" w:name="sub_1039_Копия_1"/>
      <w:bookmarkStart w:id="115" w:name="sub_1039_Копия_1"/>
      <w:bookmarkEnd w:id="115"/>
    </w:p>
    <w:p>
      <w:pPr>
        <w:pStyle w:val="Heading1"/>
        <w:ind w:hanging="0" w:start="0"/>
        <w:jc w:val="center"/>
        <w:rPr>
          <w:rFonts w:ascii="XO Thames" w:hAnsi="XO Thames"/>
          <w:sz w:val="28"/>
          <w:szCs w:val="28"/>
        </w:rPr>
      </w:pPr>
      <w:bookmarkStart w:id="116" w:name="sub_107"/>
      <w:bookmarkEnd w:id="116"/>
      <w:r>
        <w:rPr>
          <w:rFonts w:ascii="XO Thames" w:hAnsi="XO Thames"/>
          <w:sz w:val="28"/>
          <w:szCs w:val="28"/>
        </w:rPr>
        <w:t>Составление и представление заключений. Представление и рассмотрение возражений по результатам проведенного аудиторского мероприятия</w:t>
      </w:r>
    </w:p>
    <w:p>
      <w:pPr>
        <w:pStyle w:val="Normal"/>
        <w:jc w:val="both"/>
        <w:rPr>
          <w:rFonts w:ascii="XO Thames" w:hAnsi="XO Thames"/>
          <w:sz w:val="28"/>
          <w:szCs w:val="28"/>
        </w:rPr>
      </w:pPr>
      <w:r>
        <w:rPr>
          <w:rFonts w:ascii="XO Thames" w:hAnsi="XO Thames"/>
          <w:sz w:val="28"/>
          <w:szCs w:val="28"/>
        </w:rPr>
      </w:r>
      <w:bookmarkStart w:id="117" w:name="sub_107_Копия_1"/>
      <w:bookmarkStart w:id="118" w:name="sub_107_Копия_1"/>
      <w:bookmarkEnd w:id="118"/>
    </w:p>
    <w:p>
      <w:pPr>
        <w:pStyle w:val="Normal"/>
        <w:jc w:val="both"/>
        <w:rPr/>
      </w:pPr>
      <w:bookmarkStart w:id="119" w:name="sub_1040"/>
      <w:bookmarkEnd w:id="119"/>
      <w:r>
        <w:rPr>
          <w:rStyle w:val="Style7"/>
          <w:rFonts w:ascii="XO Thames" w:hAnsi="XO Thames"/>
          <w:sz w:val="28"/>
          <w:szCs w:val="28"/>
        </w:rPr>
        <w:t>40. Заключение по аудиторскому мероприятию (далее - Заключение) включает в себя:</w:t>
      </w:r>
    </w:p>
    <w:p>
      <w:pPr>
        <w:pStyle w:val="Normal"/>
        <w:jc w:val="both"/>
        <w:rPr/>
      </w:pPr>
      <w:bookmarkStart w:id="120" w:name="sub_10401"/>
      <w:bookmarkStart w:id="121" w:name="sub_1040_Копия_1"/>
      <w:bookmarkEnd w:id="120"/>
      <w:bookmarkEnd w:id="121"/>
      <w:r>
        <w:rPr>
          <w:rStyle w:val="Style7"/>
          <w:rFonts w:ascii="XO Thames" w:hAnsi="XO Thames"/>
          <w:sz w:val="28"/>
          <w:szCs w:val="28"/>
        </w:rPr>
        <w:t>а) результаты проведения аудиторского мероприятия по вопросам Программы;</w:t>
      </w:r>
    </w:p>
    <w:p>
      <w:pPr>
        <w:pStyle w:val="Normal"/>
        <w:jc w:val="both"/>
        <w:rPr/>
      </w:pPr>
      <w:bookmarkStart w:id="122" w:name="sub_10402"/>
      <w:bookmarkStart w:id="123" w:name="sub_10401_Копия_1"/>
      <w:bookmarkEnd w:id="122"/>
      <w:bookmarkEnd w:id="123"/>
      <w:r>
        <w:rPr>
          <w:rStyle w:val="Style7"/>
          <w:rFonts w:ascii="XO Thames" w:hAnsi="XO Thames"/>
          <w:sz w:val="28"/>
          <w:szCs w:val="28"/>
        </w:rPr>
        <w:t>б) информацию о выявленных в ходе аудиторской проверки недостатках и нарушениях, об условиях и о причинах таких нарушений, а также не устраненных в ходе внутреннего финансового контроля значимых бюджетных рисках;</w:t>
      </w:r>
    </w:p>
    <w:p>
      <w:pPr>
        <w:pStyle w:val="Normal"/>
        <w:jc w:val="both"/>
        <w:rPr/>
      </w:pPr>
      <w:bookmarkStart w:id="124" w:name="sub_10403"/>
      <w:bookmarkStart w:id="125" w:name="sub_10402_Копия_1"/>
      <w:bookmarkEnd w:id="124"/>
      <w:bookmarkEnd w:id="125"/>
      <w:r>
        <w:rPr>
          <w:rStyle w:val="Style7"/>
          <w:rFonts w:ascii="XO Thames" w:hAnsi="XO Thames"/>
          <w:sz w:val="28"/>
          <w:szCs w:val="28"/>
        </w:rPr>
        <w:t>в) выводы о степени надежности внутреннего финансового контроля и достоверности представленной Объектом аудита бюджетной отчетности;</w:t>
      </w:r>
    </w:p>
    <w:p>
      <w:pPr>
        <w:pStyle w:val="Normal"/>
        <w:jc w:val="both"/>
        <w:rPr/>
      </w:pPr>
      <w:bookmarkStart w:id="126" w:name="sub_10404"/>
      <w:bookmarkStart w:id="127" w:name="sub_10403_Копия_1"/>
      <w:bookmarkEnd w:id="126"/>
      <w:bookmarkEnd w:id="127"/>
      <w:r>
        <w:rPr>
          <w:rStyle w:val="Style7"/>
          <w:rFonts w:ascii="XO Thames" w:hAnsi="XO Thames"/>
          <w:sz w:val="28"/>
          <w:szCs w:val="28"/>
        </w:rPr>
        <w:t>г) выводы о достоверности бюджетной отчетности (о соответствии порядка ведения бюджетного учета и составления бюджетной отчетности получателя бюджетных средств методологии и стандартам бюджетного учета и бюджетной отчетности, установленным Министерством финансов Российской Федерации, включая выводы о соблюдении порядка формирования (актуализации) учетной политики, оформления и принятия к учету первичных учетных документов, проведения инвентаризации активов и обязательств, хранения документов бюджетного учета, а также о соответствии состава бюджетной отчетности требованиям, установленным в нормативных правовых актах, регулирующих составление и представление бюджетной отчетности, ее составлении на основе данных, содержащихся в регистрах бюджетного учета), а также о соблюдении Департаментом как главным администратором бюджетных средств порядка формирования сводной бюджетной отчетности;</w:t>
      </w:r>
    </w:p>
    <w:p>
      <w:pPr>
        <w:pStyle w:val="Normal"/>
        <w:jc w:val="both"/>
        <w:rPr/>
      </w:pPr>
      <w:bookmarkStart w:id="128" w:name="sub_10405"/>
      <w:bookmarkStart w:id="129" w:name="sub_10404_Копия_1"/>
      <w:bookmarkEnd w:id="128"/>
      <w:bookmarkEnd w:id="129"/>
      <w:r>
        <w:rPr>
          <w:rStyle w:val="Style7"/>
          <w:rFonts w:ascii="XO Thames" w:hAnsi="XO Thames"/>
          <w:sz w:val="28"/>
          <w:szCs w:val="28"/>
        </w:rPr>
        <w:t>д)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средств окружного бюджета.</w:t>
      </w:r>
    </w:p>
    <w:p>
      <w:pPr>
        <w:pStyle w:val="Normal"/>
        <w:jc w:val="both"/>
        <w:rPr/>
      </w:pPr>
      <w:bookmarkStart w:id="130" w:name="sub_1041"/>
      <w:bookmarkStart w:id="131" w:name="sub_10405_Копия_1"/>
      <w:bookmarkEnd w:id="130"/>
      <w:bookmarkEnd w:id="131"/>
      <w:r>
        <w:rPr>
          <w:rStyle w:val="Style7"/>
          <w:rFonts w:ascii="XO Thames" w:hAnsi="XO Thames"/>
          <w:sz w:val="28"/>
          <w:szCs w:val="28"/>
        </w:rPr>
        <w:t>41. Проект Заключения передается субъектом внутреннего финансового аудита на ознакомление Субъекту бюджетной процедуры в течение трех рабочих дней (</w:t>
      </w:r>
      <w:hyperlink w:anchor="sub_1000">
        <w:r>
          <w:rPr>
            <w:rStyle w:val="Style"/>
            <w:rFonts w:ascii="XO Thames" w:hAnsi="XO Thames"/>
            <w:b w:val="false"/>
            <w:color w:val="106BBE"/>
            <w:sz w:val="28"/>
            <w:szCs w:val="28"/>
          </w:rPr>
          <w:t>приложение 1</w:t>
        </w:r>
      </w:hyperlink>
      <w:r>
        <w:rPr>
          <w:rStyle w:val="Style7"/>
          <w:rFonts w:ascii="XO Thames" w:hAnsi="XO Thames"/>
          <w:sz w:val="28"/>
          <w:szCs w:val="28"/>
        </w:rPr>
        <w:t xml:space="preserve"> к Порядку).</w:t>
      </w:r>
    </w:p>
    <w:p>
      <w:pPr>
        <w:pStyle w:val="Normal"/>
        <w:jc w:val="both"/>
        <w:rPr/>
      </w:pPr>
      <w:bookmarkStart w:id="132" w:name="sub_1041_Копия_1"/>
      <w:bookmarkEnd w:id="132"/>
      <w:r>
        <w:rPr>
          <w:rStyle w:val="Style7"/>
          <w:rFonts w:ascii="XO Thames" w:hAnsi="XO Thames"/>
          <w:sz w:val="28"/>
          <w:szCs w:val="28"/>
        </w:rPr>
        <w:t>Проект Заключения подписывается должностным лицом, осуществляющим внутренний финансовый аудит.</w:t>
      </w:r>
    </w:p>
    <w:p>
      <w:pPr>
        <w:pStyle w:val="Normal"/>
        <w:jc w:val="both"/>
        <w:rPr/>
      </w:pPr>
      <w:bookmarkStart w:id="133" w:name="sub_1042"/>
      <w:bookmarkEnd w:id="133"/>
      <w:r>
        <w:rPr>
          <w:rStyle w:val="Style7"/>
          <w:rFonts w:ascii="XO Thames" w:hAnsi="XO Thames"/>
          <w:sz w:val="28"/>
          <w:szCs w:val="28"/>
        </w:rPr>
        <w:t>42. При наличии возражений и предложений по фактам, указанным в Заключении, Субъект бюджетной процедуры в течение 3 рабочих дней с даты его получения на ознакомление вправе представить в свободной форме возражения и предложения в Департамент на бумажном носителе или в электронном виде.</w:t>
      </w:r>
    </w:p>
    <w:p>
      <w:pPr>
        <w:pStyle w:val="Normal"/>
        <w:jc w:val="both"/>
        <w:rPr/>
      </w:pPr>
      <w:bookmarkStart w:id="134" w:name="sub_1043"/>
      <w:bookmarkStart w:id="135" w:name="sub_1042_Копия_1"/>
      <w:bookmarkEnd w:id="134"/>
      <w:bookmarkEnd w:id="135"/>
      <w:r>
        <w:rPr>
          <w:rStyle w:val="Style7"/>
          <w:rFonts w:ascii="XO Thames" w:hAnsi="XO Thames"/>
          <w:sz w:val="28"/>
          <w:szCs w:val="28"/>
        </w:rPr>
        <w:t>43. Субъект внутреннего финансового аудита в течение 3 рабочих дней со дня получения возражений и предложений рассматривает их обоснованность и дает заключение по представленным Субъектом бюджетных процедур возражениям и предложениям (далее - Заключение по возражениям и предложениям) в свободной форме.</w:t>
      </w:r>
    </w:p>
    <w:p>
      <w:pPr>
        <w:pStyle w:val="Normal"/>
        <w:jc w:val="both"/>
        <w:rPr/>
      </w:pPr>
      <w:bookmarkStart w:id="136" w:name="sub_1044"/>
      <w:bookmarkStart w:id="137" w:name="sub_1043_Копия_1"/>
      <w:bookmarkEnd w:id="136"/>
      <w:bookmarkEnd w:id="137"/>
      <w:r>
        <w:rPr>
          <w:rStyle w:val="Style7"/>
          <w:rFonts w:ascii="XO Thames" w:hAnsi="XO Thames"/>
          <w:sz w:val="28"/>
          <w:szCs w:val="28"/>
        </w:rPr>
        <w:t>44. Заключение по возражениям и предложениям направляется Субъекту бюджетных процедур в письменной и/или электронной форме, а его копия приобщается к материалам аудиторского мероприятия.</w:t>
      </w:r>
    </w:p>
    <w:p>
      <w:pPr>
        <w:pStyle w:val="Normal"/>
        <w:jc w:val="both"/>
        <w:rPr/>
      </w:pPr>
      <w:bookmarkStart w:id="138" w:name="sub_1045"/>
      <w:bookmarkStart w:id="139" w:name="sub_1044_Копия_1"/>
      <w:bookmarkEnd w:id="138"/>
      <w:bookmarkEnd w:id="139"/>
      <w:r>
        <w:rPr>
          <w:rStyle w:val="Style7"/>
          <w:rFonts w:ascii="XO Thames" w:hAnsi="XO Thames"/>
          <w:sz w:val="28"/>
          <w:szCs w:val="28"/>
        </w:rPr>
        <w:t>45. Заключение (</w:t>
      </w:r>
      <w:hyperlink w:anchor="sub_2000">
        <w:r>
          <w:rPr>
            <w:rStyle w:val="Style"/>
            <w:rFonts w:ascii="XO Thames" w:hAnsi="XO Thames"/>
            <w:b w:val="false"/>
            <w:color w:val="106BBE"/>
            <w:sz w:val="28"/>
            <w:szCs w:val="28"/>
          </w:rPr>
          <w:t>приложение 2</w:t>
        </w:r>
      </w:hyperlink>
      <w:r>
        <w:rPr>
          <w:rStyle w:val="Style7"/>
          <w:rFonts w:ascii="XO Thames" w:hAnsi="XO Thames"/>
          <w:sz w:val="28"/>
          <w:szCs w:val="28"/>
        </w:rPr>
        <w:t xml:space="preserve"> к Порядку), подписанное субъектом внутреннего финансового аудита, завизированное руководителем Субъекта бюджетной процедуры, представляется руководителю Департамента для рассмотрения и принятия решения.</w:t>
      </w:r>
    </w:p>
    <w:p>
      <w:pPr>
        <w:pStyle w:val="Normal"/>
        <w:jc w:val="both"/>
        <w:rPr/>
      </w:pPr>
      <w:bookmarkStart w:id="140" w:name="sub_1045_Копия_1"/>
      <w:bookmarkEnd w:id="140"/>
      <w:r>
        <w:rPr>
          <w:rStyle w:val="Style7"/>
          <w:rFonts w:ascii="XO Thames" w:hAnsi="XO Thames"/>
          <w:sz w:val="28"/>
          <w:szCs w:val="28"/>
        </w:rPr>
        <w:t>По результатам рассмотрения руководитель Департамента принимает решение о согласии с выводами и предложениями, отраженными в Заключении, или о недостаточной обоснованности аудиторских выводов, предложений и рекомендаций.</w:t>
      </w:r>
    </w:p>
    <w:p>
      <w:pPr>
        <w:pStyle w:val="Normal"/>
        <w:jc w:val="both"/>
        <w:rPr/>
      </w:pPr>
      <w:bookmarkStart w:id="141" w:name="sub_1046"/>
      <w:bookmarkEnd w:id="141"/>
      <w:r>
        <w:rPr>
          <w:rStyle w:val="Style7"/>
          <w:rFonts w:ascii="XO Thames" w:hAnsi="XO Thames"/>
          <w:sz w:val="28"/>
          <w:szCs w:val="28"/>
        </w:rPr>
        <w:t>46. Подписанный экземпляр Заключения с решением руководителя Департамента остается у субъекта внутреннего финансового аудита, копия - передается Субъекту бюджетной процедуры.</w:t>
      </w:r>
    </w:p>
    <w:p>
      <w:pPr>
        <w:pStyle w:val="Normal"/>
        <w:jc w:val="both"/>
        <w:rPr/>
      </w:pPr>
      <w:bookmarkStart w:id="142" w:name="sub_1047"/>
      <w:bookmarkStart w:id="143" w:name="sub_1046_Копия_1"/>
      <w:bookmarkEnd w:id="142"/>
      <w:bookmarkEnd w:id="143"/>
      <w:r>
        <w:rPr>
          <w:rStyle w:val="Style7"/>
          <w:rFonts w:ascii="XO Thames" w:hAnsi="XO Thames"/>
          <w:sz w:val="28"/>
          <w:szCs w:val="28"/>
        </w:rPr>
        <w:t xml:space="preserve">47. В течение 5 рабочих дней со дня, следующего за днем получения копии Заключения с решением (резолюцией) руководителя Департамента, Субъект бюджетной процедуры обеспечивает разработку плана мероприятий по реализации предложений и рекомендаций и/или устранению недостатков/нарушений (графы 1-4 </w:t>
      </w:r>
      <w:hyperlink w:anchor="sub_310">
        <w:r>
          <w:rPr>
            <w:rStyle w:val="Style"/>
            <w:rFonts w:ascii="XO Thames" w:hAnsi="XO Thames"/>
            <w:b w:val="false"/>
            <w:color w:val="106BBE"/>
            <w:sz w:val="28"/>
            <w:szCs w:val="28"/>
          </w:rPr>
          <w:t>таблицы</w:t>
        </w:r>
      </w:hyperlink>
      <w:r>
        <w:rPr>
          <w:rStyle w:val="Style7"/>
          <w:rFonts w:ascii="XO Thames" w:hAnsi="XO Thames"/>
          <w:sz w:val="28"/>
          <w:szCs w:val="28"/>
        </w:rPr>
        <w:t xml:space="preserve"> приложения 3 к Порядку).</w:t>
      </w:r>
    </w:p>
    <w:p>
      <w:pPr>
        <w:pStyle w:val="Normal"/>
        <w:jc w:val="both"/>
        <w:rPr/>
      </w:pPr>
      <w:bookmarkStart w:id="144" w:name="sub_1048"/>
      <w:bookmarkStart w:id="145" w:name="sub_1047_Копия_1"/>
      <w:bookmarkEnd w:id="144"/>
      <w:bookmarkEnd w:id="145"/>
      <w:r>
        <w:rPr>
          <w:rStyle w:val="Style7"/>
          <w:rFonts w:ascii="XO Thames" w:hAnsi="XO Thames"/>
          <w:sz w:val="28"/>
          <w:szCs w:val="28"/>
        </w:rPr>
        <w:t xml:space="preserve">48. Субъект бюджетной процедуры обеспечивает выполнение внесенных субъектом внутреннего финансового аудита предложений и в установленные сроки представляет информацию об устранении нарушений и недостатков, выявленных в ходе аудиторских мероприятий, с приложением копий подтверждающих документов (графы 1-5 </w:t>
      </w:r>
      <w:hyperlink w:anchor="sub_310">
        <w:r>
          <w:rPr>
            <w:rStyle w:val="Style"/>
            <w:rFonts w:ascii="XO Thames" w:hAnsi="XO Thames"/>
            <w:b w:val="false"/>
            <w:color w:val="106BBE"/>
            <w:sz w:val="28"/>
            <w:szCs w:val="28"/>
          </w:rPr>
          <w:t>таблицы</w:t>
        </w:r>
      </w:hyperlink>
      <w:r>
        <w:rPr>
          <w:rStyle w:val="Style7"/>
          <w:rFonts w:ascii="XO Thames" w:hAnsi="XO Thames"/>
          <w:sz w:val="28"/>
          <w:szCs w:val="28"/>
        </w:rPr>
        <w:t xml:space="preserve"> приложения 3 к Порядку).</w:t>
      </w:r>
    </w:p>
    <w:p>
      <w:pPr>
        <w:pStyle w:val="Normal"/>
        <w:jc w:val="both"/>
        <w:rPr>
          <w:rFonts w:ascii="XO Thames" w:hAnsi="XO Thames"/>
          <w:sz w:val="28"/>
          <w:szCs w:val="28"/>
        </w:rPr>
      </w:pPr>
      <w:r>
        <w:rPr>
          <w:rFonts w:ascii="XO Thames" w:hAnsi="XO Thames"/>
          <w:sz w:val="28"/>
          <w:szCs w:val="28"/>
        </w:rPr>
      </w:r>
      <w:bookmarkStart w:id="146" w:name="sub_1048_Копия_1"/>
      <w:bookmarkStart w:id="147" w:name="sub_1048_Копия_1"/>
      <w:bookmarkEnd w:id="147"/>
    </w:p>
    <w:p>
      <w:pPr>
        <w:pStyle w:val="Heading1"/>
        <w:ind w:hanging="0" w:start="0"/>
        <w:jc w:val="center"/>
        <w:rPr>
          <w:rFonts w:ascii="XO Thames" w:hAnsi="XO Thames"/>
          <w:sz w:val="28"/>
          <w:szCs w:val="28"/>
        </w:rPr>
      </w:pPr>
      <w:bookmarkStart w:id="148" w:name="sub_108"/>
      <w:bookmarkEnd w:id="148"/>
      <w:r>
        <w:rPr>
          <w:rFonts w:ascii="XO Thames" w:hAnsi="XO Thames"/>
          <w:sz w:val="28"/>
          <w:szCs w:val="28"/>
        </w:rPr>
        <w:t>Составление и представление годовой отчетности о результатах осуществления внутреннего финансового аудита</w:t>
      </w:r>
    </w:p>
    <w:p>
      <w:pPr>
        <w:pStyle w:val="Normal"/>
        <w:jc w:val="both"/>
        <w:rPr>
          <w:rFonts w:ascii="XO Thames" w:hAnsi="XO Thames"/>
          <w:sz w:val="28"/>
          <w:szCs w:val="28"/>
        </w:rPr>
      </w:pPr>
      <w:r>
        <w:rPr>
          <w:rFonts w:ascii="XO Thames" w:hAnsi="XO Thames"/>
          <w:sz w:val="28"/>
          <w:szCs w:val="28"/>
        </w:rPr>
      </w:r>
      <w:bookmarkStart w:id="149" w:name="sub_108_Копия_1"/>
      <w:bookmarkStart w:id="150" w:name="sub_108_Копия_1"/>
      <w:bookmarkEnd w:id="150"/>
    </w:p>
    <w:p>
      <w:pPr>
        <w:pStyle w:val="Normal"/>
        <w:jc w:val="both"/>
        <w:rPr/>
      </w:pPr>
      <w:bookmarkStart w:id="151" w:name="sub_1049"/>
      <w:bookmarkEnd w:id="151"/>
      <w:r>
        <w:rPr>
          <w:rStyle w:val="Style7"/>
          <w:rFonts w:ascii="XO Thames" w:hAnsi="XO Thames"/>
          <w:sz w:val="28"/>
          <w:szCs w:val="28"/>
        </w:rPr>
        <w:t>49. Годовая отчетность о результатах осуществления внутреннего финансового аудита за отчетный финансовый год формируется по состоянию на 1 января года, следующего за отчетным годом, с пояснительной запиской (</w:t>
      </w:r>
      <w:hyperlink w:anchor="sub_4000">
        <w:r>
          <w:rPr>
            <w:rStyle w:val="Style"/>
            <w:rFonts w:ascii="XO Thames" w:hAnsi="XO Thames"/>
            <w:b w:val="false"/>
            <w:color w:val="106BBE"/>
            <w:sz w:val="28"/>
            <w:szCs w:val="28"/>
          </w:rPr>
          <w:t>приложение 4</w:t>
        </w:r>
      </w:hyperlink>
      <w:r>
        <w:rPr>
          <w:rStyle w:val="Style7"/>
          <w:rFonts w:ascii="XO Thames" w:hAnsi="XO Thames"/>
          <w:sz w:val="28"/>
          <w:szCs w:val="28"/>
        </w:rPr>
        <w:t xml:space="preserve"> к Порядку) и направляется руководителю Департамента до 25 января текущего финансового года.</w:t>
      </w:r>
    </w:p>
    <w:p>
      <w:pPr>
        <w:pStyle w:val="Normal"/>
        <w:jc w:val="both"/>
        <w:rPr/>
      </w:pPr>
      <w:bookmarkStart w:id="152" w:name="sub_1050"/>
      <w:bookmarkStart w:id="153" w:name="sub_1049_Копия_1"/>
      <w:bookmarkEnd w:id="152"/>
      <w:bookmarkEnd w:id="153"/>
      <w:r>
        <w:rPr>
          <w:rStyle w:val="Style7"/>
          <w:rFonts w:ascii="XO Thames" w:hAnsi="XO Thames"/>
          <w:sz w:val="28"/>
          <w:szCs w:val="28"/>
        </w:rPr>
        <w:t>50. Отчетным периодом является календарный год с 1 января по 31 декабря включительно.</w:t>
      </w:r>
    </w:p>
    <w:p>
      <w:pPr>
        <w:pStyle w:val="Normal"/>
        <w:jc w:val="both"/>
        <w:rPr/>
      </w:pPr>
      <w:bookmarkStart w:id="154" w:name="sub_1051"/>
      <w:bookmarkStart w:id="155" w:name="sub_1050_Копия_1"/>
      <w:bookmarkEnd w:id="154"/>
      <w:bookmarkEnd w:id="155"/>
      <w:r>
        <w:rPr>
          <w:rStyle w:val="Style7"/>
          <w:rFonts w:ascii="XO Thames" w:hAnsi="XO Thames"/>
          <w:sz w:val="28"/>
          <w:szCs w:val="28"/>
        </w:rPr>
        <w:t>51. Годовая отчетность включает данные, отраженные в заключениях и Реестре бюджетных рисков и включает в себя информацию, в том числе подтверждающую выводы о достоверности сводной бюджетной отчетности, о минимизации бюджетных рисков, надежности внутреннего финансового контроля.</w:t>
      </w:r>
    </w:p>
    <w:p>
      <w:pPr>
        <w:pStyle w:val="Normal"/>
        <w:jc w:val="both"/>
        <w:rPr/>
      </w:pPr>
      <w:bookmarkStart w:id="156" w:name="sub_1052"/>
      <w:bookmarkStart w:id="157" w:name="sub_1051_Копия_1"/>
      <w:bookmarkEnd w:id="156"/>
      <w:bookmarkEnd w:id="157"/>
      <w:r>
        <w:rPr>
          <w:rStyle w:val="Style7"/>
          <w:rFonts w:ascii="XO Thames" w:hAnsi="XO Thames"/>
          <w:sz w:val="28"/>
          <w:szCs w:val="28"/>
        </w:rPr>
        <w:t>52. Пояснительная записка включает следующие сведения и информацию:</w:t>
      </w:r>
    </w:p>
    <w:p>
      <w:pPr>
        <w:pStyle w:val="Normal"/>
        <w:jc w:val="both"/>
        <w:rPr/>
      </w:pPr>
      <w:bookmarkStart w:id="158" w:name="sub_10521"/>
      <w:bookmarkStart w:id="159" w:name="sub_1052_Копия_1"/>
      <w:bookmarkEnd w:id="158"/>
      <w:bookmarkEnd w:id="159"/>
      <w:r>
        <w:rPr>
          <w:rStyle w:val="Style7"/>
          <w:rFonts w:ascii="XO Thames" w:hAnsi="XO Thames"/>
          <w:sz w:val="28"/>
          <w:szCs w:val="28"/>
        </w:rPr>
        <w:t>а) о выполнении плана проведения аудиторских мероприятий за отчетный год, в том числе аудиторских мероприятий, проведенных в рамках переданных от администратора бюджетных средств полномочий по осуществлению внутреннего финансового аудита, а в случае невыполнения плана - информацию о причинах его невыполнения;</w:t>
      </w:r>
    </w:p>
    <w:p>
      <w:pPr>
        <w:pStyle w:val="Normal"/>
        <w:jc w:val="both"/>
        <w:rPr/>
      </w:pPr>
      <w:bookmarkStart w:id="160" w:name="sub_10522"/>
      <w:bookmarkStart w:id="161" w:name="sub_10521_Копия_1"/>
      <w:bookmarkEnd w:id="160"/>
      <w:bookmarkEnd w:id="161"/>
      <w:r>
        <w:rPr>
          <w:rStyle w:val="Style7"/>
          <w:rFonts w:ascii="XO Thames" w:hAnsi="XO Thames"/>
          <w:sz w:val="28"/>
          <w:szCs w:val="28"/>
        </w:rPr>
        <w:t>б) о количестве и темах проведенных внеплановых аудиторских мероприятий за отчетный год;</w:t>
      </w:r>
    </w:p>
    <w:p>
      <w:pPr>
        <w:pStyle w:val="Normal"/>
        <w:jc w:val="both"/>
        <w:rPr/>
      </w:pPr>
      <w:bookmarkStart w:id="162" w:name="sub_10523"/>
      <w:bookmarkStart w:id="163" w:name="sub_10522_Копия_1"/>
      <w:bookmarkEnd w:id="162"/>
      <w:bookmarkEnd w:id="163"/>
      <w:r>
        <w:rPr>
          <w:rStyle w:val="Style7"/>
          <w:rFonts w:ascii="XO Thames" w:hAnsi="XO Thames"/>
          <w:sz w:val="28"/>
          <w:szCs w:val="28"/>
        </w:rPr>
        <w:t>в) о степени надежности осуществляемого в главном администраторе (администраторе) бюджетных средств внутреннего финансового контроля;</w:t>
      </w:r>
    </w:p>
    <w:p>
      <w:pPr>
        <w:pStyle w:val="Normal"/>
        <w:jc w:val="both"/>
        <w:rPr/>
      </w:pPr>
      <w:bookmarkStart w:id="164" w:name="sub_10524"/>
      <w:bookmarkStart w:id="165" w:name="sub_10523_Копия_1"/>
      <w:bookmarkEnd w:id="164"/>
      <w:bookmarkEnd w:id="165"/>
      <w:r>
        <w:rPr>
          <w:rStyle w:val="Style7"/>
          <w:rFonts w:ascii="XO Thames" w:hAnsi="XO Thames"/>
          <w:sz w:val="28"/>
          <w:szCs w:val="28"/>
        </w:rPr>
        <w:t>г) о достоверности (недостоверности) сформированной бюджетной отчетности главного администратора (администратора) бюджетных средств;</w:t>
      </w:r>
    </w:p>
    <w:p>
      <w:pPr>
        <w:pStyle w:val="Normal"/>
        <w:jc w:val="both"/>
        <w:rPr/>
      </w:pPr>
      <w:bookmarkStart w:id="166" w:name="sub_10525"/>
      <w:bookmarkStart w:id="167" w:name="sub_10524_Копия_1"/>
      <w:bookmarkEnd w:id="166"/>
      <w:bookmarkEnd w:id="167"/>
      <w:r>
        <w:rPr>
          <w:rStyle w:val="Style7"/>
          <w:rFonts w:ascii="XO Thames" w:hAnsi="XO Thames"/>
          <w:sz w:val="28"/>
          <w:szCs w:val="28"/>
        </w:rPr>
        <w:t>д) о результатах оценки исполнения бюджетных полномочий главного администратора (администратора) бюджетных средств, в частности, о достижении главным администратором (администратором) бюджетных средств целевых значений показателей качества финансового менеджмента;</w:t>
      </w:r>
    </w:p>
    <w:p>
      <w:pPr>
        <w:pStyle w:val="Normal"/>
        <w:jc w:val="both"/>
        <w:rPr/>
      </w:pPr>
      <w:bookmarkStart w:id="168" w:name="sub_10526"/>
      <w:bookmarkStart w:id="169" w:name="sub_10525_Копия_1"/>
      <w:bookmarkEnd w:id="168"/>
      <w:bookmarkEnd w:id="169"/>
      <w:r>
        <w:rPr>
          <w:rStyle w:val="Style7"/>
          <w:rFonts w:ascii="XO Thames" w:hAnsi="XO Thames"/>
          <w:sz w:val="28"/>
          <w:szCs w:val="28"/>
        </w:rPr>
        <w:t xml:space="preserve">е) о результатах деятельности субъекта внутреннего финансового аудита, направленной на решение задач внутреннего финансового аудита, указанных в </w:t>
      </w:r>
      <w:hyperlink r:id="rId7">
        <w:r>
          <w:rPr>
            <w:rStyle w:val="Style"/>
            <w:rFonts w:ascii="XO Thames" w:hAnsi="XO Thames"/>
            <w:b w:val="false"/>
            <w:color w:val="106BBE"/>
            <w:sz w:val="28"/>
            <w:szCs w:val="28"/>
          </w:rPr>
          <w:t>пунктах 14-16</w:t>
        </w:r>
      </w:hyperlink>
      <w:r>
        <w:rPr>
          <w:rStyle w:val="Style7"/>
          <w:rFonts w:ascii="XO Thames" w:hAnsi="XO Thames"/>
          <w:sz w:val="28"/>
          <w:szCs w:val="28"/>
        </w:rPr>
        <w:t xml:space="preserve"> федерального стандарта внутреннего финансового аудита "Определения, принципы и задачи внутреннего финансового аудита", включая информацию о наиболее значимых, по мнению руководителя субъекта внутреннего финансового аудита:</w:t>
      </w:r>
    </w:p>
    <w:p>
      <w:pPr>
        <w:pStyle w:val="Normal"/>
        <w:jc w:val="both"/>
        <w:rPr/>
      </w:pPr>
      <w:bookmarkStart w:id="170" w:name="sub_10526_Копия_1"/>
      <w:bookmarkEnd w:id="170"/>
      <w:r>
        <w:rPr>
          <w:rStyle w:val="Style7"/>
          <w:rFonts w:ascii="XO Thames" w:hAnsi="XO Thames"/>
          <w:sz w:val="28"/>
          <w:szCs w:val="28"/>
        </w:rPr>
        <w:t>выводах, предложениях и рекомендациях субъекта внутреннего финансового аудита;</w:t>
      </w:r>
    </w:p>
    <w:p>
      <w:pPr>
        <w:pStyle w:val="Normal"/>
        <w:jc w:val="both"/>
        <w:rPr/>
      </w:pPr>
      <w:r>
        <w:rPr>
          <w:rStyle w:val="Style7"/>
          <w:rFonts w:ascii="XO Thames" w:hAnsi="XO Thames"/>
          <w:sz w:val="28"/>
          <w:szCs w:val="28"/>
        </w:rPr>
        <w:t>нарушениях и (или) недостатках, бюджетных рисках, а также о значимых остаточных бюджетных рисках, включая информацию об их причинах;</w:t>
      </w:r>
    </w:p>
    <w:p>
      <w:pPr>
        <w:pStyle w:val="Normal"/>
        <w:jc w:val="both"/>
        <w:rPr/>
      </w:pPr>
      <w:r>
        <w:rPr>
          <w:rStyle w:val="Style7"/>
          <w:rFonts w:ascii="XO Thames" w:hAnsi="XO Thames"/>
          <w:sz w:val="28"/>
          <w:szCs w:val="28"/>
        </w:rPr>
        <w:t>принятых (необходимых к принятию) мерах по повышению качества финансового менеджмента главного администратора (администратора) бюджетных средств и минимизации (устранению) бюджетных рисков;</w:t>
      </w:r>
    </w:p>
    <w:p>
      <w:pPr>
        <w:pStyle w:val="Normal"/>
        <w:jc w:val="both"/>
        <w:rPr/>
      </w:pPr>
      <w:r>
        <w:rPr>
          <w:rStyle w:val="Style7"/>
          <w:rFonts w:ascii="XO Thames" w:hAnsi="XO Thames"/>
          <w:sz w:val="28"/>
          <w:szCs w:val="28"/>
        </w:rPr>
        <w:t>примерах (лучших практиках) организации (обеспечения выполнения), выполнения бюджетных процедур и (или) операций (действий) по выполнению бюджетных процедур в главном администраторе (администраторе) бюджетных средств (при наличии);</w:t>
      </w:r>
    </w:p>
    <w:p>
      <w:pPr>
        <w:pStyle w:val="Normal"/>
        <w:jc w:val="both"/>
        <w:rPr/>
      </w:pPr>
      <w:bookmarkStart w:id="171" w:name="sub_10527"/>
      <w:bookmarkEnd w:id="171"/>
      <w:r>
        <w:rPr>
          <w:rStyle w:val="Style7"/>
          <w:rFonts w:ascii="XO Thames" w:hAnsi="XO Thames"/>
          <w:sz w:val="28"/>
          <w:szCs w:val="28"/>
        </w:rPr>
        <w:t>ж) о результатах мониторинга реализации мер по минимизации (устранению) бюджетных рисков;</w:t>
      </w:r>
    </w:p>
    <w:p>
      <w:pPr>
        <w:pStyle w:val="Normal"/>
        <w:jc w:val="both"/>
        <w:rPr/>
      </w:pPr>
      <w:bookmarkStart w:id="172" w:name="sub_10528"/>
      <w:bookmarkStart w:id="173" w:name="sub_10527_Копия_1"/>
      <w:bookmarkEnd w:id="172"/>
      <w:bookmarkEnd w:id="173"/>
      <w:r>
        <w:rPr>
          <w:rStyle w:val="Style7"/>
          <w:rFonts w:ascii="XO Thames" w:hAnsi="XO Thames"/>
          <w:sz w:val="28"/>
          <w:szCs w:val="28"/>
        </w:rPr>
        <w:t>з) о событиях, оказавших существенное влияние на организацию и осуществление внутреннего финансового аудита, а также на деятельность субъекта внутреннего финансового аудита;</w:t>
      </w:r>
    </w:p>
    <w:p>
      <w:pPr>
        <w:pStyle w:val="Normal"/>
        <w:jc w:val="both"/>
        <w:rPr/>
      </w:pPr>
      <w:bookmarkStart w:id="174" w:name="sub_10529"/>
      <w:bookmarkStart w:id="175" w:name="sub_10528_Копия_1"/>
      <w:bookmarkEnd w:id="174"/>
      <w:bookmarkEnd w:id="175"/>
      <w:r>
        <w:rPr>
          <w:rStyle w:val="Style7"/>
          <w:rFonts w:ascii="XO Thames" w:hAnsi="XO Thames"/>
          <w:sz w:val="28"/>
          <w:szCs w:val="28"/>
        </w:rPr>
        <w:t>и) о субъекте внутреннего финансового аудита, в том числе о его подчиненности, штатной и фактической численности, а также о принятых мерах по повышению квалификации должностных лиц (работников) субъекта внутреннего финансового аудита.</w:t>
      </w:r>
    </w:p>
    <w:p>
      <w:pPr>
        <w:pStyle w:val="Normal"/>
        <w:jc w:val="both"/>
        <w:rPr>
          <w:rFonts w:ascii="XO Thames" w:hAnsi="XO Thames"/>
          <w:sz w:val="28"/>
          <w:szCs w:val="28"/>
        </w:rPr>
      </w:pPr>
      <w:r>
        <w:rPr>
          <w:rFonts w:ascii="XO Thames" w:hAnsi="XO Thames"/>
          <w:sz w:val="28"/>
          <w:szCs w:val="28"/>
        </w:rPr>
      </w:r>
      <w:bookmarkStart w:id="176" w:name="sub_10529_Копия_1"/>
      <w:bookmarkStart w:id="177" w:name="sub_10529_Копия_1"/>
      <w:bookmarkEnd w:id="177"/>
    </w:p>
    <w:p>
      <w:pPr>
        <w:pStyle w:val="Heading1"/>
        <w:ind w:hanging="0" w:start="0"/>
        <w:jc w:val="center"/>
        <w:rPr>
          <w:rFonts w:ascii="XO Thames" w:hAnsi="XO Thames"/>
          <w:sz w:val="28"/>
          <w:szCs w:val="28"/>
        </w:rPr>
      </w:pPr>
      <w:bookmarkStart w:id="178" w:name="sub_109"/>
      <w:bookmarkEnd w:id="178"/>
      <w:r>
        <w:rPr>
          <w:rFonts w:ascii="XO Thames" w:hAnsi="XO Thames"/>
          <w:sz w:val="28"/>
          <w:szCs w:val="28"/>
        </w:rPr>
        <w:t>Реестр бюджетных рисков, участие субъектов бюджетных процедур в формировании и ведении (актуализации) реестра бюджетных рисков</w:t>
      </w:r>
    </w:p>
    <w:p>
      <w:pPr>
        <w:pStyle w:val="Normal"/>
        <w:jc w:val="both"/>
        <w:rPr>
          <w:rFonts w:ascii="XO Thames" w:hAnsi="XO Thames"/>
          <w:sz w:val="28"/>
          <w:szCs w:val="28"/>
        </w:rPr>
      </w:pPr>
      <w:r>
        <w:rPr>
          <w:rFonts w:ascii="XO Thames" w:hAnsi="XO Thames"/>
          <w:sz w:val="28"/>
          <w:szCs w:val="28"/>
        </w:rPr>
      </w:r>
      <w:bookmarkStart w:id="179" w:name="sub_109_Копия_1"/>
      <w:bookmarkStart w:id="180" w:name="sub_109_Копия_1"/>
      <w:bookmarkEnd w:id="180"/>
    </w:p>
    <w:p>
      <w:pPr>
        <w:pStyle w:val="Normal"/>
        <w:jc w:val="both"/>
        <w:rPr/>
      </w:pPr>
      <w:bookmarkStart w:id="181" w:name="sub_1053"/>
      <w:bookmarkEnd w:id="181"/>
      <w:r>
        <w:rPr>
          <w:rStyle w:val="Style7"/>
          <w:rFonts w:ascii="XO Thames" w:hAnsi="XO Thames"/>
          <w:sz w:val="28"/>
          <w:szCs w:val="28"/>
        </w:rPr>
        <w:t>53. Для сбора и анализа информации о бюджетных рисках субъектом внутреннего финансового аудита формируется и ведется реестр бюджетных рисков (</w:t>
      </w:r>
      <w:hyperlink w:anchor="sub_5000">
        <w:r>
          <w:rPr>
            <w:rStyle w:val="Style"/>
            <w:rFonts w:ascii="XO Thames" w:hAnsi="XO Thames"/>
            <w:b w:val="false"/>
            <w:color w:val="106BBE"/>
            <w:sz w:val="28"/>
            <w:szCs w:val="28"/>
          </w:rPr>
          <w:t>приложение 5</w:t>
        </w:r>
      </w:hyperlink>
      <w:r>
        <w:rPr>
          <w:rStyle w:val="Style7"/>
          <w:rFonts w:ascii="XO Thames" w:hAnsi="XO Thames"/>
          <w:sz w:val="28"/>
          <w:szCs w:val="28"/>
        </w:rPr>
        <w:t xml:space="preserve"> к Порядку).</w:t>
      </w:r>
    </w:p>
    <w:p>
      <w:pPr>
        <w:pStyle w:val="Normal"/>
        <w:jc w:val="both"/>
        <w:rPr/>
      </w:pPr>
      <w:bookmarkStart w:id="182" w:name="sub_1054"/>
      <w:bookmarkStart w:id="183" w:name="sub_1053_Копия_1"/>
      <w:bookmarkEnd w:id="182"/>
      <w:bookmarkEnd w:id="183"/>
      <w:r>
        <w:rPr>
          <w:rStyle w:val="Style7"/>
          <w:rFonts w:ascii="XO Thames" w:hAnsi="XO Thames"/>
          <w:sz w:val="28"/>
          <w:szCs w:val="28"/>
        </w:rPr>
        <w:t>54. В целях формирования и ведения реестра бюджетных рисков Субъектами бюджетных процедур и субъектом внутреннего финансового аудита (в рамках проведения аудиторских мероприятий) осуществляется оценка бюджетных рисков, включающая в себя выявление (обнаружение) бюджетного риска, определение его значимости с применением критериев вероятности и степени влияния.</w:t>
      </w:r>
    </w:p>
    <w:p>
      <w:pPr>
        <w:pStyle w:val="Normal"/>
        <w:jc w:val="both"/>
        <w:rPr/>
      </w:pPr>
      <w:bookmarkStart w:id="184" w:name="sub_1055"/>
      <w:bookmarkStart w:id="185" w:name="sub_1054_Копия_1"/>
      <w:bookmarkEnd w:id="184"/>
      <w:bookmarkEnd w:id="185"/>
      <w:r>
        <w:rPr>
          <w:rStyle w:val="Style7"/>
          <w:rFonts w:ascii="XO Thames" w:hAnsi="XO Thames"/>
          <w:sz w:val="28"/>
          <w:szCs w:val="28"/>
        </w:rPr>
        <w:t>55. Актуализации реестра бюджетных рисков - регулярно (не реже одного раза в год) проводимая переоценка (определение значимости) бюджетных рисков, находящихся в реестре бюджетных рисков, а также выявление бюджетных рисков, присущих текущему и очередному финансовому году, в целях их включения в реестр бюджетных рисков.</w:t>
      </w:r>
    </w:p>
    <w:p>
      <w:pPr>
        <w:pStyle w:val="Normal"/>
        <w:jc w:val="both"/>
        <w:rPr>
          <w:rFonts w:ascii="XO Thames" w:hAnsi="XO Thames"/>
          <w:sz w:val="28"/>
          <w:szCs w:val="28"/>
        </w:rPr>
      </w:pPr>
      <w:r>
        <w:rPr>
          <w:rFonts w:ascii="XO Thames" w:hAnsi="XO Thames"/>
          <w:sz w:val="28"/>
          <w:szCs w:val="28"/>
        </w:rPr>
      </w:r>
      <w:bookmarkStart w:id="186" w:name="sub_1055_Копия_1"/>
      <w:bookmarkStart w:id="187" w:name="sub_1055_Копия_1"/>
      <w:bookmarkEnd w:id="187"/>
    </w:p>
    <w:p>
      <w:pPr>
        <w:pStyle w:val="Heading1"/>
        <w:ind w:hanging="0" w:start="0"/>
        <w:jc w:val="both"/>
        <w:rPr>
          <w:rFonts w:ascii="XO Thames" w:hAnsi="XO Thames"/>
          <w:sz w:val="28"/>
          <w:szCs w:val="28"/>
        </w:rPr>
      </w:pPr>
      <w:bookmarkStart w:id="188" w:name="sub_110"/>
      <w:bookmarkEnd w:id="188"/>
      <w:r>
        <w:rPr>
          <w:rFonts w:ascii="XO Thames" w:hAnsi="XO Thames"/>
          <w:sz w:val="28"/>
          <w:szCs w:val="28"/>
        </w:rPr>
        <w:t>Мониторинг реализации мер по минимизации (устранению) бюджетных рисков</w:t>
      </w:r>
    </w:p>
    <w:p>
      <w:pPr>
        <w:pStyle w:val="Normal"/>
        <w:jc w:val="both"/>
        <w:rPr>
          <w:rFonts w:ascii="XO Thames" w:hAnsi="XO Thames"/>
          <w:sz w:val="28"/>
          <w:szCs w:val="28"/>
        </w:rPr>
      </w:pPr>
      <w:r>
        <w:rPr>
          <w:rFonts w:ascii="XO Thames" w:hAnsi="XO Thames"/>
          <w:sz w:val="28"/>
          <w:szCs w:val="28"/>
        </w:rPr>
      </w:r>
      <w:bookmarkStart w:id="189" w:name="sub_110_Копия_1"/>
      <w:bookmarkStart w:id="190" w:name="sub_110_Копия_1"/>
      <w:bookmarkEnd w:id="190"/>
    </w:p>
    <w:p>
      <w:pPr>
        <w:pStyle w:val="Normal"/>
        <w:jc w:val="both"/>
        <w:rPr/>
      </w:pPr>
      <w:bookmarkStart w:id="191" w:name="sub_1056"/>
      <w:bookmarkEnd w:id="191"/>
      <w:r>
        <w:rPr>
          <w:rStyle w:val="Style7"/>
          <w:rFonts w:ascii="XO Thames" w:hAnsi="XO Thames"/>
          <w:sz w:val="28"/>
          <w:szCs w:val="28"/>
        </w:rPr>
        <w:t>56. Департамент выполняет меры по повышению качества финансового менеджмента и минимизации (устранению) бюджетных рисков.</w:t>
      </w:r>
    </w:p>
    <w:p>
      <w:pPr>
        <w:pStyle w:val="Normal"/>
        <w:jc w:val="both"/>
        <w:rPr/>
      </w:pPr>
      <w:bookmarkStart w:id="192" w:name="sub_1057"/>
      <w:bookmarkStart w:id="193" w:name="sub_1056_Копия_1"/>
      <w:bookmarkEnd w:id="192"/>
      <w:bookmarkEnd w:id="193"/>
      <w:r>
        <w:rPr>
          <w:rStyle w:val="Style7"/>
          <w:rFonts w:ascii="XO Thames" w:hAnsi="XO Thames"/>
          <w:sz w:val="28"/>
          <w:szCs w:val="28"/>
        </w:rPr>
        <w:t>57. Субъект внутреннего финансового аудита регулярно (не реже одного раза в год) проводит мониторинг реализации субъектами бюджетных процедур мер по минимизации (устранению) бюджетных рисков, в рамках которого формируют информацию о результатах исполнения решений, направленных на повышение качества финансового менеджмента.</w:t>
      </w:r>
    </w:p>
    <w:p>
      <w:pPr>
        <w:pStyle w:val="Normal"/>
        <w:jc w:val="both"/>
        <w:rPr/>
      </w:pPr>
      <w:bookmarkStart w:id="194" w:name="sub_1058"/>
      <w:bookmarkStart w:id="195" w:name="sub_1057_Копия_1"/>
      <w:bookmarkEnd w:id="194"/>
      <w:bookmarkEnd w:id="195"/>
      <w:r>
        <w:rPr>
          <w:rStyle w:val="Style7"/>
          <w:rFonts w:ascii="XO Thames" w:hAnsi="XO Thames"/>
          <w:sz w:val="28"/>
          <w:szCs w:val="28"/>
        </w:rPr>
        <w:t>58. Целью проведения мониторинга реализации мер по минимизации (устранению) бюджетных рисков является подтверждение исполнения решений, принятых руководителем Департамента по результатам рассмотрения Заключения, а также оценка их влияния на повышение качества финансового менеджмента и (или) на минимизацию (устранение) бюджетных рисков, в том числе выявление значимых остаточных бюджетных рисков.</w:t>
      </w:r>
    </w:p>
    <w:p>
      <w:pPr>
        <w:pStyle w:val="Normal"/>
        <w:jc w:val="both"/>
        <w:rPr/>
      </w:pPr>
      <w:bookmarkStart w:id="196" w:name="sub_1059"/>
      <w:bookmarkStart w:id="197" w:name="sub_1058_Копия_1"/>
      <w:bookmarkEnd w:id="196"/>
      <w:bookmarkEnd w:id="197"/>
      <w:r>
        <w:rPr>
          <w:rStyle w:val="Style7"/>
          <w:rFonts w:ascii="XO Thames" w:hAnsi="XO Thames"/>
          <w:sz w:val="28"/>
          <w:szCs w:val="28"/>
        </w:rPr>
        <w:t>59. Способы, сроки и периодичность проведения мониторинга реализации мер по минимизации (устранению) бюджетных рисков определяет субъект внутреннего финансового аудита.</w:t>
      </w:r>
    </w:p>
    <w:p>
      <w:pPr>
        <w:pStyle w:val="Normal"/>
        <w:jc w:val="both"/>
        <w:rPr/>
      </w:pPr>
      <w:bookmarkStart w:id="198" w:name="sub_1059_Копия_1"/>
      <w:bookmarkEnd w:id="198"/>
      <w:r>
        <w:rPr>
          <w:rStyle w:val="Style7"/>
          <w:rFonts w:ascii="XO Thames" w:hAnsi="XO Thames"/>
          <w:sz w:val="28"/>
          <w:szCs w:val="28"/>
        </w:rPr>
        <w:t>Должностное лицо субъекта внутреннего финансового аудита проводит указанный мониторинг с использованием одного или нескольких из следующих способов:</w:t>
      </w:r>
    </w:p>
    <w:p>
      <w:pPr>
        <w:pStyle w:val="Normal"/>
        <w:jc w:val="both"/>
        <w:rPr/>
      </w:pPr>
      <w:r>
        <w:rPr>
          <w:rStyle w:val="Style7"/>
          <w:rFonts w:ascii="XO Thames" w:hAnsi="XO Thames"/>
          <w:sz w:val="28"/>
          <w:szCs w:val="28"/>
        </w:rPr>
        <w:t>а) запрос и анализ информации от субъектов бюджетных процедур, являющихся руководителями структурных подразделений главного администратора (администратора) бюджетных средств, о ходе и (или) результатах выполнения мер по повышению качества финансового менеджмента и минимизации (устранению) бюджетных рисков, в том числе о причинах невыполнения указанных мер;</w:t>
      </w:r>
    </w:p>
    <w:p>
      <w:pPr>
        <w:pStyle w:val="Normal"/>
        <w:jc w:val="both"/>
        <w:rPr/>
      </w:pPr>
      <w:r>
        <w:rPr>
          <w:rStyle w:val="Style7"/>
          <w:rFonts w:ascii="XO Thames" w:hAnsi="XO Thames"/>
          <w:sz w:val="28"/>
          <w:szCs w:val="28"/>
        </w:rPr>
        <w:t>б) анализ результатов мероприятий органов государственного (муниципального) финансового контроля в главном администраторе (администраторе) бюджетных средств, касающихся организации (обеспечения выполнения), выполнения бюджетных процедур, в том числе операций (действий) по выполнению бюджетных процедур, в отношении которых принимались решения, направленные на повышение качества финансового менеджмента;</w:t>
      </w:r>
    </w:p>
    <w:p>
      <w:pPr>
        <w:pStyle w:val="Normal"/>
        <w:jc w:val="both"/>
        <w:rPr/>
      </w:pPr>
      <w:r>
        <w:rPr>
          <w:rStyle w:val="Style7"/>
          <w:rFonts w:ascii="XO Thames" w:hAnsi="XO Thames"/>
          <w:sz w:val="28"/>
          <w:szCs w:val="28"/>
        </w:rPr>
        <w:t>в) повторное аудиторское мероприятие (мероприятия), объектами которого являются бюджетные процедуры и (или) составляющие эти процедуры операции (действия) по выполнению бюджетных процедур, в отношении которых принимались решения руководителя Департамента;</w:t>
      </w:r>
    </w:p>
    <w:p>
      <w:pPr>
        <w:pStyle w:val="Normal"/>
        <w:jc w:val="both"/>
        <w:rPr/>
      </w:pPr>
      <w:r>
        <w:rPr>
          <w:rStyle w:val="Style7"/>
          <w:rFonts w:ascii="XO Thames" w:hAnsi="XO Thames"/>
          <w:sz w:val="28"/>
          <w:szCs w:val="28"/>
        </w:rPr>
        <w:t>г) проведение аудиторского мероприятия с целью анализа исполнения направленных на повышение качества финансового менеджмента решений, принятых в том числе по результатам проведения аудиторских мероприятий.</w:t>
      </w:r>
    </w:p>
    <w:p>
      <w:pPr>
        <w:pStyle w:val="Normal"/>
        <w:jc w:val="both"/>
        <w:rPr/>
      </w:pPr>
      <w:bookmarkStart w:id="199" w:name="sub_1060"/>
      <w:bookmarkEnd w:id="199"/>
      <w:r>
        <w:rPr>
          <w:rStyle w:val="Style7"/>
          <w:rFonts w:ascii="XO Thames" w:hAnsi="XO Thames"/>
          <w:sz w:val="28"/>
          <w:szCs w:val="28"/>
        </w:rPr>
        <w:t>60. В случае если при проведении мониторинга реализации мер по минимизации (устранению) бюджетных рисков субъектом внутреннего финансового аудита выявлена необходимость проведения дополнительных мероприятий по совершенствованию организации (обеспечения выполнения), выполнения бюджетной процедуры и (или) операций (действий) по выполнению бюджетной процедуры, то Должностное лицо субъекта внутреннего финансового аудита информирует об этом руководителя Департамента.</w:t>
      </w:r>
    </w:p>
    <w:p>
      <w:pPr>
        <w:pStyle w:val="Normal"/>
        <w:jc w:val="both"/>
        <w:rPr/>
      </w:pPr>
      <w:bookmarkStart w:id="200" w:name="sub_1061"/>
      <w:bookmarkStart w:id="201" w:name="sub_1060_Копия_1"/>
      <w:bookmarkEnd w:id="200"/>
      <w:bookmarkEnd w:id="201"/>
      <w:r>
        <w:rPr>
          <w:rStyle w:val="Style7"/>
          <w:rFonts w:ascii="XO Thames" w:hAnsi="XO Thames"/>
          <w:sz w:val="28"/>
          <w:szCs w:val="28"/>
        </w:rPr>
        <w:t>61. Обобщенная информация о результатах мониторинга реализации мер по минимизации (устранению) бюджетных рисков отражается в годовой отчетности о результатах деятельности субъекта внутреннего финансового аудита.</w:t>
      </w:r>
    </w:p>
    <w:p>
      <w:pPr>
        <w:pStyle w:val="Normal"/>
        <w:jc w:val="both"/>
        <w:rPr>
          <w:rFonts w:ascii="XO Thames" w:hAnsi="XO Thames"/>
          <w:sz w:val="28"/>
          <w:szCs w:val="28"/>
        </w:rPr>
      </w:pPr>
      <w:r>
        <w:rPr>
          <w:rFonts w:ascii="XO Thames" w:hAnsi="XO Thames"/>
          <w:sz w:val="28"/>
          <w:szCs w:val="28"/>
        </w:rPr>
      </w:r>
      <w:bookmarkStart w:id="202" w:name="sub_1061_Копия_1"/>
      <w:bookmarkStart w:id="203" w:name="sub_1061_Копия_1"/>
      <w:bookmarkEnd w:id="203"/>
    </w:p>
    <w:p>
      <w:pPr>
        <w:pStyle w:val="Heading1"/>
        <w:ind w:hanging="0" w:start="0"/>
        <w:jc w:val="center"/>
        <w:rPr>
          <w:rFonts w:ascii="XO Thames" w:hAnsi="XO Thames"/>
          <w:sz w:val="28"/>
          <w:szCs w:val="28"/>
        </w:rPr>
      </w:pPr>
      <w:r>
        <w:rPr>
          <w:rFonts w:ascii="XO Thames" w:hAnsi="XO Thames"/>
          <w:sz w:val="28"/>
          <w:szCs w:val="28"/>
        </w:rPr>
      </w:r>
    </w:p>
    <w:p>
      <w:pPr>
        <w:pStyle w:val="Heading1"/>
        <w:ind w:hanging="0" w:start="0"/>
        <w:jc w:val="center"/>
        <w:rPr>
          <w:rFonts w:ascii="XO Thames" w:hAnsi="XO Thames"/>
          <w:sz w:val="28"/>
          <w:szCs w:val="28"/>
        </w:rPr>
      </w:pPr>
      <w:r>
        <w:rPr>
          <w:rFonts w:ascii="XO Thames" w:hAnsi="XO Thames"/>
          <w:sz w:val="28"/>
          <w:szCs w:val="28"/>
        </w:rPr>
      </w:r>
    </w:p>
    <w:p>
      <w:pPr>
        <w:pStyle w:val="Heading1"/>
        <w:ind w:hanging="0" w:start="0"/>
        <w:jc w:val="center"/>
        <w:rPr>
          <w:rFonts w:ascii="XO Thames" w:hAnsi="XO Thames"/>
          <w:sz w:val="28"/>
          <w:szCs w:val="28"/>
        </w:rPr>
      </w:pPr>
      <w:r>
        <w:rPr>
          <w:rFonts w:ascii="XO Thames" w:hAnsi="XO Thames"/>
          <w:sz w:val="28"/>
          <w:szCs w:val="28"/>
        </w:rPr>
      </w:r>
    </w:p>
    <w:p>
      <w:pPr>
        <w:pStyle w:val="Heading1"/>
        <w:ind w:hanging="0" w:start="0"/>
        <w:jc w:val="center"/>
        <w:rPr>
          <w:rFonts w:ascii="XO Thames" w:hAnsi="XO Thames"/>
          <w:sz w:val="28"/>
          <w:szCs w:val="28"/>
        </w:rPr>
      </w:pPr>
      <w:bookmarkStart w:id="204" w:name="sub_111"/>
      <w:bookmarkEnd w:id="204"/>
      <w:r>
        <w:rPr>
          <w:rFonts w:ascii="XO Thames" w:hAnsi="XO Thames"/>
          <w:sz w:val="28"/>
          <w:szCs w:val="28"/>
        </w:rPr>
        <w:t>Принятие и исполнение Департаментом переданных полномочий по осуществлению внутреннего финансового аудита</w:t>
      </w:r>
    </w:p>
    <w:p>
      <w:pPr>
        <w:pStyle w:val="Normal"/>
        <w:jc w:val="both"/>
        <w:rPr>
          <w:rFonts w:ascii="XO Thames" w:hAnsi="XO Thames"/>
          <w:sz w:val="28"/>
          <w:szCs w:val="28"/>
        </w:rPr>
      </w:pPr>
      <w:r>
        <w:rPr>
          <w:rFonts w:ascii="XO Thames" w:hAnsi="XO Thames"/>
          <w:sz w:val="28"/>
          <w:szCs w:val="28"/>
        </w:rPr>
      </w:r>
      <w:bookmarkStart w:id="205" w:name="sub_111_Копия_1"/>
      <w:bookmarkStart w:id="206" w:name="sub_111_Копия_1"/>
      <w:bookmarkEnd w:id="206"/>
    </w:p>
    <w:p>
      <w:pPr>
        <w:pStyle w:val="Normal"/>
        <w:jc w:val="both"/>
        <w:rPr/>
      </w:pPr>
      <w:bookmarkStart w:id="207" w:name="sub_1062"/>
      <w:bookmarkEnd w:id="207"/>
      <w:r>
        <w:rPr>
          <w:rStyle w:val="Style7"/>
          <w:rFonts w:ascii="XO Thames" w:hAnsi="XO Thames"/>
          <w:sz w:val="28"/>
          <w:szCs w:val="28"/>
        </w:rPr>
        <w:t>62. Подведомственные Департаменту учреждения вправе передать полномочия по осуществлению внутреннего финансового аудита Департаменту.</w:t>
      </w:r>
    </w:p>
    <w:p>
      <w:pPr>
        <w:pStyle w:val="Normal"/>
        <w:jc w:val="both"/>
        <w:rPr/>
      </w:pPr>
      <w:bookmarkStart w:id="208" w:name="sub_1063"/>
      <w:bookmarkStart w:id="209" w:name="sub_1062_Копия_1"/>
      <w:bookmarkEnd w:id="208"/>
      <w:bookmarkEnd w:id="209"/>
      <w:r>
        <w:rPr>
          <w:rStyle w:val="Style7"/>
          <w:rFonts w:ascii="XO Thames" w:hAnsi="XO Thames"/>
          <w:sz w:val="28"/>
          <w:szCs w:val="28"/>
        </w:rPr>
        <w:t>63. Субъектом внутреннего финансового аудита подведомственных Департаменту учреждений, передавших полномочия по осуществлению внутреннего финансового аудита, является субъект внутреннего финансового аудита Департамента, принявший полномочия по осуществлению внутреннего финансового аудита (далее - субъект внутреннего финансового аудита, принявший полномочия).</w:t>
      </w:r>
    </w:p>
    <w:p>
      <w:pPr>
        <w:pStyle w:val="Normal"/>
        <w:jc w:val="both"/>
        <w:rPr/>
      </w:pPr>
      <w:bookmarkStart w:id="210" w:name="sub_1064"/>
      <w:bookmarkStart w:id="211" w:name="sub_1063_Копия_1"/>
      <w:bookmarkEnd w:id="210"/>
      <w:bookmarkEnd w:id="211"/>
      <w:r>
        <w:rPr>
          <w:rStyle w:val="Style7"/>
          <w:rFonts w:ascii="XO Thames" w:hAnsi="XO Thames"/>
          <w:sz w:val="28"/>
          <w:szCs w:val="28"/>
        </w:rPr>
        <w:t xml:space="preserve">64. Решение о передаче полномочий по осуществлению внутреннего финансового аудита оформляется соглашением о передаче полномочий администратора бюджетных средств по осуществлению внутреннего финансового аудита с учетом положений </w:t>
      </w:r>
      <w:hyperlink r:id="rId8">
        <w:r>
          <w:rPr>
            <w:rStyle w:val="Style"/>
            <w:rFonts w:ascii="XO Thames" w:hAnsi="XO Thames"/>
            <w:b w:val="false"/>
            <w:color w:val="106BBE"/>
            <w:sz w:val="28"/>
            <w:szCs w:val="28"/>
          </w:rPr>
          <w:t>пункта 19 Раздела IV</w:t>
        </w:r>
      </w:hyperlink>
      <w:r>
        <w:rPr>
          <w:rStyle w:val="Style7"/>
          <w:rFonts w:ascii="XO Thames" w:hAnsi="XO Thames"/>
          <w:sz w:val="28"/>
          <w:szCs w:val="28"/>
        </w:rPr>
        <w:t xml:space="preserve"> федерального стандарта ВФА "Основания и порядок организации, случаи и порядок передачи полномочий по осуществлению внутреннего финансового аудита".</w:t>
      </w:r>
    </w:p>
    <w:p>
      <w:pPr>
        <w:pStyle w:val="Normal"/>
        <w:jc w:val="both"/>
        <w:rPr>
          <w:rFonts w:ascii="XO Thames" w:hAnsi="XO Thames"/>
          <w:sz w:val="28"/>
          <w:szCs w:val="28"/>
        </w:rPr>
      </w:pPr>
      <w:r>
        <w:rPr>
          <w:rFonts w:ascii="XO Thames" w:hAnsi="XO Thames"/>
          <w:sz w:val="28"/>
          <w:szCs w:val="28"/>
        </w:rPr>
      </w:r>
      <w:bookmarkStart w:id="212" w:name="sub_1064_Копия_1"/>
      <w:bookmarkStart w:id="213" w:name="sub_1064_Копия_1"/>
      <w:bookmarkEnd w:id="213"/>
    </w:p>
    <w:p>
      <w:pPr>
        <w:pStyle w:val="Heading1"/>
        <w:ind w:hanging="0" w:start="0"/>
        <w:jc w:val="center"/>
        <w:rPr>
          <w:rFonts w:ascii="XO Thames" w:hAnsi="XO Thames"/>
          <w:sz w:val="28"/>
          <w:szCs w:val="28"/>
        </w:rPr>
      </w:pPr>
      <w:bookmarkStart w:id="214" w:name="sub_112"/>
      <w:bookmarkEnd w:id="214"/>
      <w:r>
        <w:rPr>
          <w:rFonts w:ascii="XO Thames" w:hAnsi="XO Thames"/>
          <w:sz w:val="28"/>
          <w:szCs w:val="28"/>
        </w:rPr>
        <w:t>Отдельное положение</w:t>
      </w:r>
    </w:p>
    <w:p>
      <w:pPr>
        <w:pStyle w:val="Normal"/>
        <w:jc w:val="both"/>
        <w:rPr>
          <w:rFonts w:ascii="XO Thames" w:hAnsi="XO Thames"/>
          <w:sz w:val="28"/>
          <w:szCs w:val="28"/>
        </w:rPr>
      </w:pPr>
      <w:r>
        <w:rPr>
          <w:rFonts w:ascii="XO Thames" w:hAnsi="XO Thames"/>
          <w:sz w:val="28"/>
          <w:szCs w:val="28"/>
        </w:rPr>
      </w:r>
      <w:bookmarkStart w:id="215" w:name="sub_112_Копия_1"/>
      <w:bookmarkStart w:id="216" w:name="sub_112_Копия_1"/>
      <w:bookmarkEnd w:id="216"/>
    </w:p>
    <w:p>
      <w:pPr>
        <w:pStyle w:val="Normal"/>
        <w:jc w:val="both"/>
        <w:rPr/>
      </w:pPr>
      <w:bookmarkStart w:id="217" w:name="sub_1065"/>
      <w:bookmarkEnd w:id="217"/>
      <w:r>
        <w:rPr>
          <w:rStyle w:val="Style7"/>
          <w:rFonts w:ascii="XO Thames" w:hAnsi="XO Thames"/>
          <w:sz w:val="28"/>
          <w:szCs w:val="28"/>
        </w:rPr>
        <w:t>65. Субъект внутреннего финансового аудита при осуществлении внутреннего финансового аудита также руководствуется положениями, определенными федеральными стандартами внутреннего финансового аудита, не включенными в настоящий Порядок.</w:t>
      </w:r>
    </w:p>
    <w:p>
      <w:pPr>
        <w:pStyle w:val="Normal"/>
        <w:jc w:val="both"/>
        <w:rPr>
          <w:rFonts w:ascii="XO Thames" w:hAnsi="XO Thames"/>
          <w:sz w:val="28"/>
          <w:szCs w:val="28"/>
        </w:rPr>
      </w:pPr>
      <w:r>
        <w:rPr>
          <w:rFonts w:ascii="XO Thames" w:hAnsi="XO Thames"/>
          <w:sz w:val="28"/>
          <w:szCs w:val="28"/>
        </w:rPr>
      </w:r>
      <w:bookmarkStart w:id="218" w:name="sub_1065_Копия_1"/>
      <w:bookmarkStart w:id="219" w:name="sub_1065_Копия_1"/>
      <w:bookmarkEnd w:id="219"/>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pPr>
      <w:bookmarkStart w:id="220" w:name="sub_1000"/>
      <w:bookmarkEnd w:id="220"/>
      <w:r>
        <w:rPr>
          <w:rFonts w:ascii="XO Thames" w:hAnsi="XO Thames"/>
          <w:b/>
          <w:color w:val="26282F"/>
          <w:sz w:val="28"/>
          <w:szCs w:val="28"/>
        </w:rPr>
        <w:t>Приложение 1</w:t>
        <w:br/>
        <w:t xml:space="preserve">к </w:t>
      </w:r>
      <w:hyperlink w:anchor="sub_10000">
        <w:r>
          <w:rPr>
            <w:rStyle w:val="Style"/>
            <w:rFonts w:ascii="XO Thames" w:hAnsi="XO Thames"/>
            <w:b w:val="false"/>
            <w:color w:val="106BBE"/>
            <w:sz w:val="28"/>
            <w:szCs w:val="28"/>
          </w:rPr>
          <w:t>Порядку</w:t>
        </w:r>
      </w:hyperlink>
      <w:r>
        <w:rPr>
          <w:rFonts w:ascii="XO Thames" w:hAnsi="XO Thames"/>
          <w:b/>
          <w:color w:val="26282F"/>
          <w:sz w:val="28"/>
          <w:szCs w:val="28"/>
        </w:rPr>
        <w:t xml:space="preserve"> осуществления</w:t>
        <w:br/>
        <w:t xml:space="preserve">Департаментом труда и социальной </w:t>
      </w:r>
    </w:p>
    <w:p>
      <w:pPr>
        <w:pStyle w:val="Normal"/>
        <w:jc w:val="end"/>
        <w:rPr>
          <w:rFonts w:ascii="XO Thames" w:hAnsi="XO Thames"/>
          <w:sz w:val="28"/>
          <w:szCs w:val="28"/>
        </w:rPr>
      </w:pPr>
      <w:r>
        <w:rPr>
          <w:rFonts w:ascii="XO Thames" w:hAnsi="XO Thames"/>
          <w:b/>
          <w:color w:val="26282F"/>
          <w:sz w:val="28"/>
          <w:szCs w:val="28"/>
        </w:rPr>
        <w:t>защиты населения Ненецкого</w:t>
        <w:br/>
        <w:t>автономного округа внутреннего</w:t>
        <w:br/>
        <w:t>финансового аудита</w:t>
      </w:r>
    </w:p>
    <w:p>
      <w:pPr>
        <w:pStyle w:val="Normal"/>
        <w:rPr>
          <w:rFonts w:ascii="XO Thames" w:hAnsi="XO Thames"/>
          <w:sz w:val="28"/>
          <w:szCs w:val="28"/>
        </w:rPr>
      </w:pPr>
      <w:r>
        <w:rPr>
          <w:rFonts w:ascii="XO Thames" w:hAnsi="XO Thames"/>
          <w:sz w:val="28"/>
          <w:szCs w:val="28"/>
        </w:rPr>
      </w:r>
      <w:bookmarkStart w:id="221" w:name="sub_1000_Копия_1"/>
      <w:bookmarkStart w:id="222" w:name="sub_1000_Копия_1"/>
      <w:bookmarkEnd w:id="222"/>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Департамент труда и социальной защиты населения</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Ненецкого автономного округа</w:t>
      </w:r>
    </w:p>
    <w:p>
      <w:pPr>
        <w:pStyle w:val="Normal"/>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г. Нарьян-Мар "____" __________ 20___ г.</w:t>
      </w:r>
    </w:p>
    <w:p>
      <w:pPr>
        <w:pStyle w:val="Normal"/>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Проект заключения</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по результатам аудиторского мероприятия</w:t>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_______________________________________</w:t>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(тема)</w:t>
      </w:r>
    </w:p>
    <w:p>
      <w:pPr>
        <w:pStyle w:val="Normal"/>
        <w:jc w:val="start"/>
        <w:rPr>
          <w:rFonts w:ascii="XO Thames" w:hAnsi="XO Thames"/>
          <w:sz w:val="28"/>
          <w:szCs w:val="28"/>
        </w:rPr>
      </w:pPr>
      <w:r>
        <w:rPr>
          <w:rFonts w:ascii="XO Thames" w:hAnsi="XO Thames"/>
          <w:sz w:val="28"/>
          <w:szCs w:val="28"/>
        </w:rPr>
      </w:r>
    </w:p>
    <w:p>
      <w:pPr>
        <w:pStyle w:val="Style15"/>
        <w:jc w:val="start"/>
        <w:rPr>
          <w:rFonts w:ascii="XO Thames" w:hAnsi="XO Thames"/>
          <w:sz w:val="28"/>
          <w:szCs w:val="28"/>
        </w:rPr>
      </w:pPr>
      <w:bookmarkStart w:id="223" w:name="sub_10001"/>
      <w:bookmarkEnd w:id="223"/>
      <w:r>
        <w:rPr>
          <w:rFonts w:ascii="XO Thames" w:hAnsi="XO Thames"/>
          <w:sz w:val="28"/>
          <w:szCs w:val="28"/>
        </w:rPr>
        <w:t xml:space="preserve"> </w:t>
      </w:r>
      <w:r>
        <w:rPr>
          <w:rFonts w:ascii="XO Thames" w:hAnsi="XO Thames"/>
          <w:sz w:val="28"/>
          <w:szCs w:val="28"/>
        </w:rPr>
        <w:t>1. Основание проведения аудиторского мероприятия: ______________________</w:t>
      </w:r>
    </w:p>
    <w:p>
      <w:pPr>
        <w:pStyle w:val="Style15"/>
        <w:jc w:val="start"/>
        <w:rPr>
          <w:rFonts w:ascii="XO Thames" w:hAnsi="XO Thames"/>
          <w:sz w:val="28"/>
          <w:szCs w:val="28"/>
        </w:rPr>
      </w:pPr>
      <w:bookmarkStart w:id="224" w:name="sub_10002"/>
      <w:bookmarkStart w:id="225" w:name="sub_10001_Копия_1"/>
      <w:bookmarkEnd w:id="224"/>
      <w:bookmarkEnd w:id="225"/>
      <w:r>
        <w:rPr>
          <w:rFonts w:ascii="XO Thames" w:hAnsi="XO Thames"/>
          <w:sz w:val="28"/>
          <w:szCs w:val="28"/>
        </w:rPr>
        <w:t xml:space="preserve"> </w:t>
      </w:r>
      <w:r>
        <w:rPr>
          <w:rFonts w:ascii="XO Thames" w:hAnsi="XO Thames"/>
          <w:sz w:val="28"/>
          <w:szCs w:val="28"/>
        </w:rPr>
        <w:t>2. Срок проведения аудиторского мероприятия: ___________________________</w:t>
      </w:r>
    </w:p>
    <w:p>
      <w:pPr>
        <w:pStyle w:val="Style15"/>
        <w:jc w:val="start"/>
        <w:rPr>
          <w:rFonts w:ascii="XO Thames" w:hAnsi="XO Thames"/>
          <w:sz w:val="28"/>
          <w:szCs w:val="28"/>
        </w:rPr>
      </w:pPr>
      <w:bookmarkStart w:id="226" w:name="sub_10003"/>
      <w:bookmarkStart w:id="227" w:name="sub_10002_Копия_1"/>
      <w:bookmarkEnd w:id="226"/>
      <w:bookmarkEnd w:id="227"/>
      <w:r>
        <w:rPr>
          <w:rFonts w:ascii="XO Thames" w:hAnsi="XO Thames"/>
          <w:sz w:val="28"/>
          <w:szCs w:val="28"/>
        </w:rPr>
        <w:t xml:space="preserve"> </w:t>
      </w:r>
      <w:r>
        <w:rPr>
          <w:rFonts w:ascii="XO Thames" w:hAnsi="XO Thames"/>
          <w:sz w:val="28"/>
          <w:szCs w:val="28"/>
        </w:rPr>
        <w:t>3. Наименование объекта внутреннего финансового аудита: ________________</w:t>
      </w:r>
    </w:p>
    <w:p>
      <w:pPr>
        <w:pStyle w:val="Style15"/>
        <w:jc w:val="start"/>
        <w:rPr>
          <w:rFonts w:ascii="XO Thames" w:hAnsi="XO Thames"/>
          <w:sz w:val="28"/>
          <w:szCs w:val="28"/>
        </w:rPr>
      </w:pPr>
      <w:bookmarkStart w:id="228" w:name="sub_10004"/>
      <w:bookmarkStart w:id="229" w:name="sub_10003_Копия_1"/>
      <w:bookmarkEnd w:id="228"/>
      <w:bookmarkEnd w:id="229"/>
      <w:r>
        <w:rPr>
          <w:rFonts w:ascii="XO Thames" w:hAnsi="XO Thames"/>
          <w:sz w:val="28"/>
          <w:szCs w:val="28"/>
        </w:rPr>
        <w:t xml:space="preserve"> </w:t>
      </w:r>
      <w:r>
        <w:rPr>
          <w:rFonts w:ascii="XO Thames" w:hAnsi="XO Thames"/>
          <w:sz w:val="28"/>
          <w:szCs w:val="28"/>
        </w:rPr>
        <w:t>4. Цель проведения аудиторского мероприятия: ___________________________</w:t>
      </w:r>
    </w:p>
    <w:p>
      <w:pPr>
        <w:pStyle w:val="Style15"/>
        <w:jc w:val="start"/>
        <w:rPr>
          <w:rFonts w:ascii="XO Thames" w:hAnsi="XO Thames"/>
          <w:sz w:val="28"/>
          <w:szCs w:val="28"/>
        </w:rPr>
      </w:pPr>
      <w:bookmarkStart w:id="230" w:name="sub_10005"/>
      <w:bookmarkStart w:id="231" w:name="sub_10004_Копия_1"/>
      <w:bookmarkEnd w:id="230"/>
      <w:bookmarkEnd w:id="231"/>
      <w:r>
        <w:rPr>
          <w:rFonts w:ascii="XO Thames" w:hAnsi="XO Thames"/>
          <w:sz w:val="28"/>
          <w:szCs w:val="28"/>
        </w:rPr>
        <w:t xml:space="preserve"> </w:t>
      </w:r>
      <w:r>
        <w:rPr>
          <w:rFonts w:ascii="XO Thames" w:hAnsi="XO Thames"/>
          <w:sz w:val="28"/>
          <w:szCs w:val="28"/>
        </w:rPr>
        <w:t>5. Применяемые методы внутреннего финансового аудита: __________________</w:t>
      </w:r>
    </w:p>
    <w:p>
      <w:pPr>
        <w:pStyle w:val="Style15"/>
        <w:jc w:val="start"/>
        <w:rPr>
          <w:rFonts w:ascii="XO Thames" w:hAnsi="XO Thames"/>
          <w:sz w:val="28"/>
          <w:szCs w:val="28"/>
        </w:rPr>
      </w:pPr>
      <w:bookmarkStart w:id="232" w:name="sub_10006"/>
      <w:bookmarkStart w:id="233" w:name="sub_10005_Копия_1"/>
      <w:bookmarkEnd w:id="232"/>
      <w:bookmarkEnd w:id="233"/>
      <w:r>
        <w:rPr>
          <w:rFonts w:ascii="XO Thames" w:hAnsi="XO Thames"/>
          <w:sz w:val="28"/>
          <w:szCs w:val="28"/>
        </w:rPr>
        <w:t xml:space="preserve"> </w:t>
      </w:r>
      <w:r>
        <w:rPr>
          <w:rFonts w:ascii="XO Thames" w:hAnsi="XO Thames"/>
          <w:sz w:val="28"/>
          <w:szCs w:val="28"/>
        </w:rPr>
        <w:t>6. В  результате  проведенного  аудиторского   мероприятия   рассмотрены</w:t>
      </w:r>
    </w:p>
    <w:p>
      <w:pPr>
        <w:pStyle w:val="Style15"/>
        <w:jc w:val="start"/>
        <w:rPr>
          <w:rFonts w:ascii="XO Thames" w:hAnsi="XO Thames"/>
          <w:sz w:val="28"/>
          <w:szCs w:val="28"/>
        </w:rPr>
      </w:pPr>
      <w:bookmarkStart w:id="234" w:name="sub_10006_Копия_1"/>
      <w:bookmarkEnd w:id="234"/>
      <w:r>
        <w:rPr>
          <w:rFonts w:ascii="XO Thames" w:hAnsi="XO Thames"/>
          <w:sz w:val="28"/>
          <w:szCs w:val="28"/>
        </w:rPr>
        <w:t xml:space="preserve"> </w:t>
      </w:r>
      <w:r>
        <w:rPr>
          <w:rFonts w:ascii="XO Thames" w:hAnsi="XO Thames"/>
          <w:sz w:val="28"/>
          <w:szCs w:val="28"/>
        </w:rPr>
        <w:t>следующие вопросы: _____________________________________________________</w:t>
      </w:r>
    </w:p>
    <w:p>
      <w:pPr>
        <w:pStyle w:val="Style15"/>
        <w:jc w:val="start"/>
        <w:rPr>
          <w:rFonts w:ascii="XO Thames" w:hAnsi="XO Thames"/>
          <w:sz w:val="28"/>
          <w:szCs w:val="28"/>
        </w:rPr>
      </w:pPr>
      <w:bookmarkStart w:id="235" w:name="sub_10007"/>
      <w:bookmarkEnd w:id="235"/>
      <w:r>
        <w:rPr>
          <w:rFonts w:ascii="XO Thames" w:hAnsi="XO Thames"/>
          <w:sz w:val="28"/>
          <w:szCs w:val="28"/>
        </w:rPr>
        <w:t xml:space="preserve"> </w:t>
      </w:r>
      <w:r>
        <w:rPr>
          <w:rFonts w:ascii="XO Thames" w:hAnsi="XO Thames"/>
          <w:sz w:val="28"/>
          <w:szCs w:val="28"/>
        </w:rPr>
        <w:t>7. Проверяемый период:</w:t>
      </w:r>
    </w:p>
    <w:p>
      <w:pPr>
        <w:pStyle w:val="Style15"/>
        <w:jc w:val="start"/>
        <w:rPr>
          <w:rFonts w:ascii="XO Thames" w:hAnsi="XO Thames"/>
          <w:sz w:val="28"/>
          <w:szCs w:val="28"/>
        </w:rPr>
      </w:pPr>
      <w:bookmarkStart w:id="236" w:name="sub_10008"/>
      <w:bookmarkStart w:id="237" w:name="sub_10007_Копия_1"/>
      <w:bookmarkEnd w:id="236"/>
      <w:bookmarkEnd w:id="237"/>
      <w:r>
        <w:rPr>
          <w:rFonts w:ascii="XO Thames" w:hAnsi="XO Thames"/>
          <w:sz w:val="28"/>
          <w:szCs w:val="28"/>
        </w:rPr>
        <w:t xml:space="preserve"> </w:t>
      </w:r>
      <w:r>
        <w:rPr>
          <w:rFonts w:ascii="XO Thames" w:hAnsi="XO Thames"/>
          <w:sz w:val="28"/>
          <w:szCs w:val="28"/>
        </w:rPr>
        <w:t>8. В ходе аудиторского мероприятия установлено следующее: ______________</w:t>
      </w:r>
    </w:p>
    <w:p>
      <w:pPr>
        <w:pStyle w:val="Style15"/>
        <w:jc w:val="start"/>
        <w:rPr>
          <w:rFonts w:ascii="XO Thames" w:hAnsi="XO Thames"/>
          <w:sz w:val="28"/>
          <w:szCs w:val="28"/>
        </w:rPr>
      </w:pPr>
      <w:bookmarkStart w:id="238" w:name="sub_10009"/>
      <w:bookmarkStart w:id="239" w:name="sub_10008_Копия_1"/>
      <w:bookmarkEnd w:id="238"/>
      <w:bookmarkEnd w:id="239"/>
      <w:r>
        <w:rPr>
          <w:rFonts w:ascii="XO Thames" w:hAnsi="XO Thames"/>
          <w:sz w:val="28"/>
          <w:szCs w:val="28"/>
        </w:rPr>
        <w:t xml:space="preserve"> </w:t>
      </w:r>
      <w:r>
        <w:rPr>
          <w:rFonts w:ascii="XO Thames" w:hAnsi="XO Thames"/>
          <w:sz w:val="28"/>
          <w:szCs w:val="28"/>
        </w:rPr>
        <w:t>9. Выводы: _____________________________________________________________</w:t>
      </w:r>
    </w:p>
    <w:p>
      <w:pPr>
        <w:pStyle w:val="Style15"/>
        <w:jc w:val="start"/>
        <w:rPr>
          <w:rFonts w:ascii="XO Thames" w:hAnsi="XO Thames"/>
          <w:sz w:val="28"/>
          <w:szCs w:val="28"/>
        </w:rPr>
      </w:pPr>
      <w:bookmarkStart w:id="240" w:name="sub_10010"/>
      <w:bookmarkStart w:id="241" w:name="sub_10009_Копия_1"/>
      <w:bookmarkEnd w:id="240"/>
      <w:bookmarkEnd w:id="241"/>
      <w:r>
        <w:rPr>
          <w:rFonts w:ascii="XO Thames" w:hAnsi="XO Thames"/>
          <w:sz w:val="28"/>
          <w:szCs w:val="28"/>
        </w:rPr>
        <w:t xml:space="preserve"> </w:t>
      </w:r>
      <w:r>
        <w:rPr>
          <w:rFonts w:ascii="XO Thames" w:hAnsi="XO Thames"/>
          <w:sz w:val="28"/>
          <w:szCs w:val="28"/>
        </w:rPr>
        <w:t>10. Предложения и рекомендации: ________________________________________</w:t>
      </w:r>
    </w:p>
    <w:p>
      <w:pPr>
        <w:pStyle w:val="Normal"/>
        <w:rPr>
          <w:rFonts w:ascii="XO Thames" w:hAnsi="XO Thames"/>
          <w:sz w:val="28"/>
          <w:szCs w:val="28"/>
        </w:rPr>
      </w:pPr>
      <w:r>
        <w:rPr>
          <w:rFonts w:ascii="XO Thames" w:hAnsi="XO Thames"/>
          <w:sz w:val="28"/>
          <w:szCs w:val="28"/>
        </w:rPr>
      </w:r>
      <w:bookmarkStart w:id="242" w:name="sub_10010_Копия_1"/>
      <w:bookmarkStart w:id="243" w:name="sub_10010_Копия_1"/>
      <w:bookmarkEnd w:id="243"/>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Должностное лицо</w:t>
      </w:r>
    </w:p>
    <w:p>
      <w:pPr>
        <w:pStyle w:val="Normal"/>
        <w:rPr>
          <w:rFonts w:ascii="XO Thames" w:hAnsi="XO Thames"/>
          <w:sz w:val="28"/>
          <w:szCs w:val="28"/>
        </w:rPr>
      </w:pPr>
      <w:r>
        <w:rPr>
          <w:rFonts w:ascii="XO Thames" w:hAnsi="XO Thames"/>
          <w:sz w:val="28"/>
          <w:szCs w:val="28"/>
        </w:rPr>
      </w:r>
    </w:p>
    <w:tbl>
      <w:tblPr>
        <w:tblW w:w="9908" w:type="dxa"/>
        <w:jc w:val="start"/>
        <w:tblInd w:w="0" w:type="dxa"/>
        <w:tblLayout w:type="fixed"/>
        <w:tblCellMar>
          <w:top w:w="0" w:type="dxa"/>
          <w:start w:w="108" w:type="dxa"/>
          <w:bottom w:w="0" w:type="dxa"/>
          <w:end w:w="108" w:type="dxa"/>
        </w:tblCellMar>
      </w:tblPr>
      <w:tblGrid>
        <w:gridCol w:w="3456"/>
        <w:gridCol w:w="371"/>
        <w:gridCol w:w="2318"/>
        <w:gridCol w:w="340"/>
        <w:gridCol w:w="3423"/>
      </w:tblGrid>
      <w:tr>
        <w:trPr/>
        <w:tc>
          <w:tcPr>
            <w:tcW w:w="3456"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456"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(должность)</w:t>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(подпись)</w:t>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(расшифровка подписи)</w:t>
            </w:r>
          </w:p>
        </w:tc>
      </w:tr>
    </w:tbl>
    <w:p>
      <w:pPr>
        <w:pStyle w:val="Normal"/>
        <w:rPr>
          <w:rFonts w:ascii="XO Thames" w:hAnsi="XO Thames"/>
          <w:sz w:val="28"/>
          <w:szCs w:val="28"/>
        </w:rPr>
      </w:pPr>
      <w:r>
        <w:rPr>
          <w:rFonts w:ascii="XO Thames" w:hAnsi="XO Thames"/>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pPr>
      <w:bookmarkStart w:id="244" w:name="sub_2000"/>
      <w:bookmarkEnd w:id="244"/>
      <w:r>
        <w:rPr>
          <w:rFonts w:ascii="XO Thames" w:hAnsi="XO Thames"/>
          <w:b/>
          <w:color w:val="26282F"/>
          <w:sz w:val="28"/>
          <w:szCs w:val="28"/>
        </w:rPr>
        <w:t>Приложение 2</w:t>
        <w:br/>
        <w:t xml:space="preserve">к </w:t>
      </w:r>
      <w:hyperlink w:anchor="sub_10000">
        <w:r>
          <w:rPr>
            <w:rStyle w:val="Style"/>
            <w:rFonts w:ascii="XO Thames" w:hAnsi="XO Thames"/>
            <w:b w:val="false"/>
            <w:color w:val="106BBE"/>
            <w:sz w:val="28"/>
            <w:szCs w:val="28"/>
          </w:rPr>
          <w:t>Порядку</w:t>
        </w:r>
      </w:hyperlink>
      <w:r>
        <w:rPr>
          <w:rFonts w:ascii="XO Thames" w:hAnsi="XO Thames"/>
          <w:b/>
          <w:color w:val="26282F"/>
          <w:sz w:val="28"/>
          <w:szCs w:val="28"/>
        </w:rPr>
        <w:t xml:space="preserve"> осуществления</w:t>
        <w:br/>
        <w:t xml:space="preserve">Департаментом труда и социальной </w:t>
      </w:r>
    </w:p>
    <w:p>
      <w:pPr>
        <w:pStyle w:val="Normal"/>
        <w:jc w:val="end"/>
        <w:rPr>
          <w:rFonts w:ascii="XO Thames" w:hAnsi="XO Thames"/>
          <w:b/>
          <w:color w:val="26282F"/>
          <w:sz w:val="28"/>
          <w:szCs w:val="28"/>
        </w:rPr>
      </w:pPr>
      <w:r>
        <w:rPr>
          <w:rFonts w:ascii="XO Thames" w:hAnsi="XO Thames"/>
          <w:b/>
          <w:color w:val="26282F"/>
          <w:sz w:val="28"/>
          <w:szCs w:val="28"/>
        </w:rPr>
        <w:t>защиты населения Ненецкого</w:t>
        <w:br/>
        <w:t>автономного округа внутреннего</w:t>
        <w:br/>
        <w:t>финансового аудита</w:t>
      </w:r>
    </w:p>
    <w:p>
      <w:pPr>
        <w:pStyle w:val="Normal"/>
        <w:jc w:val="center"/>
        <w:rPr>
          <w:rFonts w:ascii="XO Thames" w:hAnsi="XO Thames"/>
          <w:sz w:val="28"/>
          <w:szCs w:val="28"/>
        </w:rPr>
      </w:pPr>
      <w:r>
        <w:rPr>
          <w:rFonts w:ascii="XO Thames" w:hAnsi="XO Thames"/>
          <w:sz w:val="28"/>
          <w:szCs w:val="28"/>
        </w:rPr>
      </w:r>
      <w:bookmarkStart w:id="245" w:name="sub_2000_Копия_1"/>
      <w:bookmarkStart w:id="246" w:name="sub_2000_Копия_1"/>
      <w:bookmarkEnd w:id="246"/>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Департамент труда и социальной защиты населения</w:t>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Ненецкого автономного округа</w:t>
      </w:r>
    </w:p>
    <w:p>
      <w:pPr>
        <w:pStyle w:val="Normal"/>
        <w:jc w:val="center"/>
        <w:rPr>
          <w:rFonts w:ascii="XO Thames" w:hAnsi="XO Thames"/>
          <w:sz w:val="28"/>
          <w:szCs w:val="28"/>
        </w:rPr>
      </w:pPr>
      <w:r>
        <w:rPr>
          <w:rFonts w:ascii="XO Thames" w:hAnsi="XO Thames"/>
          <w:sz w:val="28"/>
          <w:szCs w:val="28"/>
        </w:rPr>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г. Нарьян-Мар "____" __________ 20___ г.</w:t>
      </w:r>
    </w:p>
    <w:p>
      <w:pPr>
        <w:pStyle w:val="Normal"/>
        <w:jc w:val="center"/>
        <w:rPr>
          <w:rFonts w:ascii="XO Thames" w:hAnsi="XO Thames"/>
          <w:sz w:val="28"/>
          <w:szCs w:val="28"/>
        </w:rPr>
      </w:pPr>
      <w:r>
        <w:rPr>
          <w:rFonts w:ascii="XO Thames" w:hAnsi="XO Thames"/>
          <w:sz w:val="28"/>
          <w:szCs w:val="28"/>
        </w:rPr>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Заключение</w:t>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по результатам аудиторского мероприятия</w:t>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_______________________________________</w:t>
      </w:r>
    </w:p>
    <w:p>
      <w:pPr>
        <w:pStyle w:val="Style15"/>
        <w:jc w:val="center"/>
        <w:rPr>
          <w:rFonts w:ascii="XO Thames" w:hAnsi="XO Thames"/>
          <w:sz w:val="28"/>
          <w:szCs w:val="28"/>
        </w:rPr>
      </w:pPr>
      <w:r>
        <w:rPr>
          <w:rFonts w:ascii="XO Thames" w:hAnsi="XO Thames"/>
          <w:sz w:val="28"/>
          <w:szCs w:val="28"/>
        </w:rPr>
        <w:t xml:space="preserve">                                  </w:t>
      </w:r>
      <w:r>
        <w:rPr>
          <w:rFonts w:ascii="XO Thames" w:hAnsi="XO Thames"/>
          <w:sz w:val="28"/>
          <w:szCs w:val="28"/>
        </w:rPr>
        <w:t>(тема)</w:t>
      </w:r>
    </w:p>
    <w:p>
      <w:pPr>
        <w:pStyle w:val="Normal"/>
        <w:jc w:val="both"/>
        <w:rPr>
          <w:rFonts w:ascii="XO Thames" w:hAnsi="XO Thames"/>
          <w:sz w:val="28"/>
          <w:szCs w:val="28"/>
        </w:rPr>
      </w:pPr>
      <w:r>
        <w:rPr>
          <w:rFonts w:ascii="XO Thames" w:hAnsi="XO Thames"/>
          <w:sz w:val="28"/>
          <w:szCs w:val="28"/>
        </w:rPr>
      </w:r>
    </w:p>
    <w:p>
      <w:pPr>
        <w:pStyle w:val="Style15"/>
        <w:jc w:val="both"/>
        <w:rPr>
          <w:rFonts w:ascii="XO Thames" w:hAnsi="XO Thames"/>
          <w:sz w:val="28"/>
          <w:szCs w:val="28"/>
        </w:rPr>
      </w:pPr>
      <w:bookmarkStart w:id="247" w:name="sub_2001"/>
      <w:bookmarkEnd w:id="247"/>
      <w:r>
        <w:rPr>
          <w:rFonts w:ascii="XO Thames" w:hAnsi="XO Thames"/>
          <w:sz w:val="28"/>
          <w:szCs w:val="28"/>
        </w:rPr>
        <w:t xml:space="preserve"> </w:t>
      </w:r>
      <w:r>
        <w:rPr>
          <w:rFonts w:ascii="XO Thames" w:hAnsi="XO Thames"/>
          <w:sz w:val="28"/>
          <w:szCs w:val="28"/>
        </w:rPr>
        <w:t>1. Основание проведения аудиторского мероприятия: ______________________</w:t>
      </w:r>
    </w:p>
    <w:p>
      <w:pPr>
        <w:pStyle w:val="Style15"/>
        <w:jc w:val="both"/>
        <w:rPr>
          <w:rFonts w:ascii="XO Thames" w:hAnsi="XO Thames"/>
          <w:sz w:val="28"/>
          <w:szCs w:val="28"/>
        </w:rPr>
      </w:pPr>
      <w:bookmarkStart w:id="248" w:name="sub_2002"/>
      <w:bookmarkStart w:id="249" w:name="sub_2001_Копия_1"/>
      <w:bookmarkEnd w:id="248"/>
      <w:bookmarkEnd w:id="249"/>
      <w:r>
        <w:rPr>
          <w:rFonts w:ascii="XO Thames" w:hAnsi="XO Thames"/>
          <w:sz w:val="28"/>
          <w:szCs w:val="28"/>
        </w:rPr>
        <w:t xml:space="preserve"> </w:t>
      </w:r>
      <w:r>
        <w:rPr>
          <w:rFonts w:ascii="XO Thames" w:hAnsi="XO Thames"/>
          <w:sz w:val="28"/>
          <w:szCs w:val="28"/>
        </w:rPr>
        <w:t>2. Срок проведения аудиторского мероприятия: ___________________________</w:t>
      </w:r>
    </w:p>
    <w:p>
      <w:pPr>
        <w:pStyle w:val="Style15"/>
        <w:jc w:val="both"/>
        <w:rPr>
          <w:rFonts w:ascii="XO Thames" w:hAnsi="XO Thames"/>
          <w:sz w:val="28"/>
          <w:szCs w:val="28"/>
        </w:rPr>
      </w:pPr>
      <w:bookmarkStart w:id="250" w:name="sub_2003"/>
      <w:bookmarkStart w:id="251" w:name="sub_2002_Копия_1"/>
      <w:bookmarkEnd w:id="250"/>
      <w:bookmarkEnd w:id="251"/>
      <w:r>
        <w:rPr>
          <w:rFonts w:ascii="XO Thames" w:hAnsi="XO Thames"/>
          <w:sz w:val="28"/>
          <w:szCs w:val="28"/>
        </w:rPr>
        <w:t>3. Наименование объекта внутреннего финансового аудита: ________________</w:t>
      </w:r>
    </w:p>
    <w:p>
      <w:pPr>
        <w:pStyle w:val="Style15"/>
        <w:jc w:val="both"/>
        <w:rPr>
          <w:rFonts w:ascii="XO Thames" w:hAnsi="XO Thames"/>
          <w:sz w:val="28"/>
          <w:szCs w:val="28"/>
        </w:rPr>
      </w:pPr>
      <w:bookmarkStart w:id="252" w:name="sub_2004"/>
      <w:bookmarkStart w:id="253" w:name="sub_2003_Копия_1"/>
      <w:bookmarkEnd w:id="252"/>
      <w:bookmarkEnd w:id="253"/>
      <w:r>
        <w:rPr>
          <w:rFonts w:ascii="XO Thames" w:hAnsi="XO Thames"/>
          <w:sz w:val="28"/>
          <w:szCs w:val="28"/>
        </w:rPr>
        <w:t xml:space="preserve"> </w:t>
      </w:r>
      <w:r>
        <w:rPr>
          <w:rFonts w:ascii="XO Thames" w:hAnsi="XO Thames"/>
          <w:sz w:val="28"/>
          <w:szCs w:val="28"/>
        </w:rPr>
        <w:t>4. Цель проведения аудиторского мероприятия: ___________________________</w:t>
      </w:r>
    </w:p>
    <w:p>
      <w:pPr>
        <w:pStyle w:val="Style15"/>
        <w:jc w:val="both"/>
        <w:rPr>
          <w:rFonts w:ascii="XO Thames" w:hAnsi="XO Thames"/>
          <w:sz w:val="28"/>
          <w:szCs w:val="28"/>
        </w:rPr>
      </w:pPr>
      <w:bookmarkStart w:id="254" w:name="sub_2005"/>
      <w:bookmarkStart w:id="255" w:name="sub_2004_Копия_1"/>
      <w:bookmarkEnd w:id="255"/>
      <w:r>
        <w:rPr>
          <w:rFonts w:ascii="XO Thames" w:hAnsi="XO Thames"/>
          <w:sz w:val="28"/>
          <w:szCs w:val="28"/>
        </w:rPr>
        <w:t xml:space="preserve"> </w:t>
      </w:r>
      <w:r>
        <w:rPr>
          <w:rFonts w:ascii="XO Thames" w:hAnsi="XO Thames"/>
          <w:sz w:val="28"/>
          <w:szCs w:val="28"/>
        </w:rPr>
        <w:t>5. Применяемые методы внутреннего финансового аудита: __________________</w:t>
      </w:r>
      <w:bookmarkEnd w:id="254"/>
    </w:p>
    <w:p>
      <w:pPr>
        <w:pStyle w:val="Style15"/>
        <w:jc w:val="both"/>
        <w:rPr>
          <w:rFonts w:ascii="XO Thames" w:hAnsi="XO Thames"/>
          <w:sz w:val="28"/>
          <w:szCs w:val="28"/>
        </w:rPr>
      </w:pPr>
      <w:bookmarkStart w:id="256" w:name="sub_2006"/>
      <w:bookmarkEnd w:id="256"/>
      <w:r>
        <w:rPr>
          <w:rFonts w:ascii="XO Thames" w:hAnsi="XO Thames"/>
          <w:sz w:val="28"/>
          <w:szCs w:val="28"/>
        </w:rPr>
        <w:t xml:space="preserve"> </w:t>
      </w:r>
      <w:r>
        <w:rPr>
          <w:rFonts w:ascii="XO Thames" w:hAnsi="XO Thames"/>
          <w:sz w:val="28"/>
          <w:szCs w:val="28"/>
        </w:rPr>
        <w:t>6. В  результате   проведенного   аудиторского  мероприятия  рассмотрены</w:t>
      </w:r>
    </w:p>
    <w:p>
      <w:pPr>
        <w:pStyle w:val="Style15"/>
        <w:jc w:val="both"/>
        <w:rPr>
          <w:rFonts w:ascii="XO Thames" w:hAnsi="XO Thames"/>
          <w:sz w:val="28"/>
          <w:szCs w:val="28"/>
        </w:rPr>
      </w:pPr>
      <w:bookmarkStart w:id="257" w:name="sub_2006_Копия_1"/>
      <w:bookmarkEnd w:id="257"/>
      <w:r>
        <w:rPr>
          <w:rFonts w:ascii="XO Thames" w:hAnsi="XO Thames"/>
          <w:sz w:val="28"/>
          <w:szCs w:val="28"/>
        </w:rPr>
        <w:t xml:space="preserve"> </w:t>
      </w:r>
      <w:r>
        <w:rPr>
          <w:rFonts w:ascii="XO Thames" w:hAnsi="XO Thames"/>
          <w:sz w:val="28"/>
          <w:szCs w:val="28"/>
        </w:rPr>
        <w:t>следующие вопросы: ___________________________________________________</w:t>
      </w:r>
    </w:p>
    <w:p>
      <w:pPr>
        <w:pStyle w:val="Style15"/>
        <w:jc w:val="both"/>
        <w:rPr>
          <w:rFonts w:ascii="XO Thames" w:hAnsi="XO Thames"/>
          <w:sz w:val="28"/>
          <w:szCs w:val="28"/>
        </w:rPr>
      </w:pPr>
      <w:bookmarkStart w:id="258" w:name="sub_2007"/>
      <w:bookmarkEnd w:id="258"/>
      <w:r>
        <w:rPr>
          <w:rFonts w:ascii="XO Thames" w:hAnsi="XO Thames"/>
          <w:sz w:val="28"/>
          <w:szCs w:val="28"/>
        </w:rPr>
        <w:t xml:space="preserve"> </w:t>
      </w:r>
      <w:r>
        <w:rPr>
          <w:rFonts w:ascii="XO Thames" w:hAnsi="XO Thames"/>
          <w:sz w:val="28"/>
          <w:szCs w:val="28"/>
        </w:rPr>
        <w:t>7. Проверяемый период:</w:t>
      </w:r>
    </w:p>
    <w:p>
      <w:pPr>
        <w:pStyle w:val="Style15"/>
        <w:jc w:val="both"/>
        <w:rPr>
          <w:rFonts w:ascii="XO Thames" w:hAnsi="XO Thames"/>
          <w:sz w:val="28"/>
          <w:szCs w:val="28"/>
        </w:rPr>
      </w:pPr>
      <w:bookmarkStart w:id="259" w:name="sub_2008"/>
      <w:bookmarkStart w:id="260" w:name="sub_2007_Копия_1"/>
      <w:bookmarkEnd w:id="259"/>
      <w:bookmarkEnd w:id="260"/>
      <w:r>
        <w:rPr>
          <w:rFonts w:ascii="XO Thames" w:hAnsi="XO Thames"/>
          <w:sz w:val="28"/>
          <w:szCs w:val="28"/>
        </w:rPr>
        <w:t xml:space="preserve"> </w:t>
      </w:r>
      <w:r>
        <w:rPr>
          <w:rFonts w:ascii="XO Thames" w:hAnsi="XO Thames"/>
          <w:sz w:val="28"/>
          <w:szCs w:val="28"/>
        </w:rPr>
        <w:t>8. В ходе аудиторского мероприятия установлено следующее: ______________</w:t>
      </w:r>
    </w:p>
    <w:p>
      <w:pPr>
        <w:pStyle w:val="Style15"/>
        <w:jc w:val="both"/>
        <w:rPr>
          <w:rFonts w:ascii="XO Thames" w:hAnsi="XO Thames"/>
          <w:sz w:val="28"/>
          <w:szCs w:val="28"/>
        </w:rPr>
      </w:pPr>
      <w:bookmarkStart w:id="261" w:name="sub_2009"/>
      <w:bookmarkStart w:id="262" w:name="sub_2008_Копия_1"/>
      <w:bookmarkEnd w:id="261"/>
      <w:bookmarkEnd w:id="262"/>
      <w:r>
        <w:rPr>
          <w:rFonts w:ascii="XO Thames" w:hAnsi="XO Thames"/>
          <w:sz w:val="28"/>
          <w:szCs w:val="28"/>
        </w:rPr>
        <w:t xml:space="preserve"> </w:t>
      </w:r>
      <w:r>
        <w:rPr>
          <w:rFonts w:ascii="XO Thames" w:hAnsi="XO Thames"/>
          <w:sz w:val="28"/>
          <w:szCs w:val="28"/>
        </w:rPr>
        <w:t>9. Выводы: _____________________________________________________________</w:t>
      </w:r>
    </w:p>
    <w:p>
      <w:pPr>
        <w:pStyle w:val="Style15"/>
        <w:jc w:val="both"/>
        <w:rPr>
          <w:rFonts w:ascii="XO Thames" w:hAnsi="XO Thames"/>
          <w:sz w:val="28"/>
          <w:szCs w:val="28"/>
        </w:rPr>
      </w:pPr>
      <w:bookmarkStart w:id="263" w:name="sub_2010"/>
      <w:bookmarkStart w:id="264" w:name="sub_2009_Копия_1"/>
      <w:bookmarkEnd w:id="263"/>
      <w:bookmarkEnd w:id="264"/>
      <w:r>
        <w:rPr>
          <w:rFonts w:ascii="XO Thames" w:hAnsi="XO Thames"/>
          <w:sz w:val="28"/>
          <w:szCs w:val="28"/>
        </w:rPr>
        <w:t xml:space="preserve"> </w:t>
      </w:r>
      <w:r>
        <w:rPr>
          <w:rFonts w:ascii="XO Thames" w:hAnsi="XO Thames"/>
          <w:sz w:val="28"/>
          <w:szCs w:val="28"/>
        </w:rPr>
        <w:t>10. Предложения и рекомендации: ________________________________________</w:t>
      </w:r>
    </w:p>
    <w:p>
      <w:pPr>
        <w:pStyle w:val="Normal"/>
        <w:jc w:val="both"/>
        <w:rPr>
          <w:rFonts w:ascii="XO Thames" w:hAnsi="XO Thames"/>
          <w:sz w:val="28"/>
          <w:szCs w:val="28"/>
        </w:rPr>
      </w:pPr>
      <w:r>
        <w:rPr>
          <w:rFonts w:ascii="XO Thames" w:hAnsi="XO Thames"/>
          <w:sz w:val="28"/>
          <w:szCs w:val="28"/>
        </w:rPr>
      </w:r>
      <w:bookmarkStart w:id="265" w:name="sub_2010_Копия_1"/>
      <w:bookmarkStart w:id="266" w:name="sub_2010_Копия_1"/>
      <w:bookmarkEnd w:id="266"/>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Решение:</w:t>
      </w:r>
    </w:p>
    <w:p>
      <w:pPr>
        <w:pStyle w:val="Normal"/>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Должностное лицо</w:t>
      </w:r>
    </w:p>
    <w:p>
      <w:pPr>
        <w:pStyle w:val="Normal"/>
        <w:rPr>
          <w:rFonts w:ascii="XO Thames" w:hAnsi="XO Thames"/>
          <w:sz w:val="28"/>
          <w:szCs w:val="28"/>
        </w:rPr>
      </w:pPr>
      <w:r>
        <w:rPr>
          <w:rFonts w:ascii="XO Thames" w:hAnsi="XO Thames"/>
          <w:sz w:val="28"/>
          <w:szCs w:val="28"/>
        </w:rPr>
      </w:r>
    </w:p>
    <w:tbl>
      <w:tblPr>
        <w:tblW w:w="9908" w:type="dxa"/>
        <w:jc w:val="start"/>
        <w:tblInd w:w="0" w:type="dxa"/>
        <w:tblLayout w:type="fixed"/>
        <w:tblCellMar>
          <w:top w:w="0" w:type="dxa"/>
          <w:start w:w="108" w:type="dxa"/>
          <w:bottom w:w="0" w:type="dxa"/>
          <w:end w:w="108" w:type="dxa"/>
        </w:tblCellMar>
      </w:tblPr>
      <w:tblGrid>
        <w:gridCol w:w="3456"/>
        <w:gridCol w:w="371"/>
        <w:gridCol w:w="2318"/>
        <w:gridCol w:w="340"/>
        <w:gridCol w:w="3423"/>
      </w:tblGrid>
      <w:tr>
        <w:trPr/>
        <w:tc>
          <w:tcPr>
            <w:tcW w:w="3456"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456"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(должность)</w:t>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(подпись)</w:t>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(расшифровка подписи)</w:t>
            </w:r>
          </w:p>
        </w:tc>
      </w:tr>
    </w:tbl>
    <w:p>
      <w:pPr>
        <w:pStyle w:val="Normal"/>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Ознакомлен:</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Руководитель, должностное лицо (работник)</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структурного подразделения Департамента,</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ответственный за выполнение</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бюджетной процедуры</w:t>
      </w:r>
    </w:p>
    <w:p>
      <w:pPr>
        <w:pStyle w:val="Normal"/>
        <w:rPr>
          <w:rFonts w:ascii="XO Thames" w:hAnsi="XO Thames"/>
          <w:sz w:val="28"/>
          <w:szCs w:val="28"/>
        </w:rPr>
      </w:pPr>
      <w:r>
        <w:rPr>
          <w:rFonts w:ascii="XO Thames" w:hAnsi="XO Thames"/>
          <w:sz w:val="28"/>
          <w:szCs w:val="28"/>
        </w:rPr>
      </w:r>
    </w:p>
    <w:tbl>
      <w:tblPr>
        <w:tblW w:w="9908" w:type="dxa"/>
        <w:jc w:val="start"/>
        <w:tblInd w:w="0" w:type="dxa"/>
        <w:tblLayout w:type="fixed"/>
        <w:tblCellMar>
          <w:top w:w="0" w:type="dxa"/>
          <w:start w:w="108" w:type="dxa"/>
          <w:bottom w:w="0" w:type="dxa"/>
          <w:end w:w="108" w:type="dxa"/>
        </w:tblCellMar>
      </w:tblPr>
      <w:tblGrid>
        <w:gridCol w:w="3456"/>
        <w:gridCol w:w="371"/>
        <w:gridCol w:w="2318"/>
        <w:gridCol w:w="340"/>
        <w:gridCol w:w="3423"/>
      </w:tblGrid>
      <w:tr>
        <w:trPr/>
        <w:tc>
          <w:tcPr>
            <w:tcW w:w="3456"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456"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(должность)</w:t>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(подпись)</w:t>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(расшифровка подписи)</w:t>
            </w:r>
          </w:p>
        </w:tc>
      </w:tr>
    </w:tbl>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Руководитель Департамента</w:t>
      </w:r>
    </w:p>
    <w:p>
      <w:pPr>
        <w:pStyle w:val="Normal"/>
        <w:rPr>
          <w:rFonts w:ascii="XO Thames" w:hAnsi="XO Thames"/>
          <w:sz w:val="28"/>
          <w:szCs w:val="28"/>
        </w:rPr>
      </w:pPr>
      <w:r>
        <w:rPr>
          <w:rFonts w:ascii="XO Thames" w:hAnsi="XO Thames"/>
          <w:sz w:val="28"/>
          <w:szCs w:val="28"/>
        </w:rPr>
      </w:r>
    </w:p>
    <w:tbl>
      <w:tblPr>
        <w:tblW w:w="9908" w:type="dxa"/>
        <w:jc w:val="start"/>
        <w:tblInd w:w="0" w:type="dxa"/>
        <w:tblLayout w:type="fixed"/>
        <w:tblCellMar>
          <w:top w:w="0" w:type="dxa"/>
          <w:start w:w="108" w:type="dxa"/>
          <w:bottom w:w="0" w:type="dxa"/>
          <w:end w:w="108" w:type="dxa"/>
        </w:tblCellMar>
      </w:tblPr>
      <w:tblGrid>
        <w:gridCol w:w="3456"/>
        <w:gridCol w:w="371"/>
        <w:gridCol w:w="2318"/>
        <w:gridCol w:w="340"/>
        <w:gridCol w:w="3423"/>
      </w:tblGrid>
      <w:tr>
        <w:trPr/>
        <w:tc>
          <w:tcPr>
            <w:tcW w:w="3456"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456"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(должность)</w:t>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(подпись)</w:t>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(расшифровка подписи)</w:t>
            </w:r>
          </w:p>
        </w:tc>
      </w:tr>
    </w:tbl>
    <w:p>
      <w:pPr>
        <w:pStyle w:val="Normal"/>
        <w:rPr>
          <w:rFonts w:ascii="XO Thames" w:hAnsi="XO Thames"/>
          <w:sz w:val="28"/>
          <w:szCs w:val="28"/>
        </w:rPr>
      </w:pPr>
      <w:r>
        <w:rPr>
          <w:rFonts w:ascii="XO Thames" w:hAnsi="XO Thames"/>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pPr>
      <w:bookmarkStart w:id="267" w:name="sub_3000"/>
      <w:bookmarkEnd w:id="267"/>
      <w:r>
        <w:rPr>
          <w:rFonts w:ascii="XO Thames" w:hAnsi="XO Thames"/>
          <w:b/>
          <w:color w:val="26282F"/>
          <w:sz w:val="28"/>
          <w:szCs w:val="28"/>
        </w:rPr>
        <w:t>Приложение 3</w:t>
        <w:br/>
        <w:t xml:space="preserve">к </w:t>
      </w:r>
      <w:hyperlink w:anchor="sub_10000">
        <w:r>
          <w:rPr>
            <w:rStyle w:val="Style"/>
            <w:rFonts w:ascii="XO Thames" w:hAnsi="XO Thames"/>
            <w:b w:val="false"/>
            <w:color w:val="106BBE"/>
            <w:sz w:val="28"/>
            <w:szCs w:val="28"/>
          </w:rPr>
          <w:t>Порядку</w:t>
        </w:r>
      </w:hyperlink>
      <w:r>
        <w:rPr>
          <w:rFonts w:ascii="XO Thames" w:hAnsi="XO Thames"/>
          <w:b/>
          <w:color w:val="26282F"/>
          <w:sz w:val="28"/>
          <w:szCs w:val="28"/>
        </w:rPr>
        <w:t xml:space="preserve"> осуществления</w:t>
        <w:br/>
        <w:t xml:space="preserve">Департаментом труда и социальной </w:t>
      </w:r>
    </w:p>
    <w:p>
      <w:pPr>
        <w:pStyle w:val="Normal"/>
        <w:jc w:val="end"/>
        <w:rPr>
          <w:rFonts w:ascii="XO Thames" w:hAnsi="XO Thames"/>
          <w:b/>
          <w:color w:val="26282F"/>
          <w:sz w:val="28"/>
          <w:szCs w:val="28"/>
        </w:rPr>
      </w:pPr>
      <w:r>
        <w:rPr>
          <w:rFonts w:ascii="XO Thames" w:hAnsi="XO Thames"/>
          <w:b/>
          <w:color w:val="26282F"/>
          <w:sz w:val="28"/>
          <w:szCs w:val="28"/>
        </w:rPr>
        <w:t>защиты населения Ненецкого</w:t>
        <w:br/>
        <w:t>автономного округа внутреннего</w:t>
        <w:br/>
        <w:t>финансового аудита</w:t>
      </w:r>
    </w:p>
    <w:p>
      <w:pPr>
        <w:pStyle w:val="Normal"/>
        <w:rPr>
          <w:rFonts w:ascii="XO Thames" w:hAnsi="XO Thames"/>
          <w:sz w:val="28"/>
          <w:szCs w:val="28"/>
        </w:rPr>
      </w:pPr>
      <w:r>
        <w:rPr>
          <w:rFonts w:ascii="XO Thames" w:hAnsi="XO Thames"/>
          <w:sz w:val="28"/>
          <w:szCs w:val="28"/>
        </w:rPr>
      </w:r>
      <w:bookmarkStart w:id="268" w:name="sub_3000_Копия_1"/>
      <w:bookmarkStart w:id="269" w:name="sub_3000_Копия_1"/>
      <w:bookmarkEnd w:id="269"/>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Должностному лицу -</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субъекту внутреннего финансового аудита</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Департамента</w:t>
      </w:r>
    </w:p>
    <w:p>
      <w:pPr>
        <w:pStyle w:val="Normal"/>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_______________________________________</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(фамилия, имя, отчество)</w:t>
      </w:r>
    </w:p>
    <w:p>
      <w:pPr>
        <w:pStyle w:val="Normal"/>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План мероприятий</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по реализации предложений и рекомендаций</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и устранению недостатков/нарушений</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__________________________________________________________________,</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(наименование аудиторского мероприятия)</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проведенного в период _________________________________ 20__ г.</w:t>
      </w:r>
    </w:p>
    <w:p>
      <w:pPr>
        <w:pStyle w:val="Normal"/>
        <w:rPr>
          <w:rFonts w:ascii="XO Thames" w:hAnsi="XO Thames"/>
          <w:sz w:val="28"/>
          <w:szCs w:val="28"/>
        </w:rPr>
      </w:pPr>
      <w:r>
        <w:rPr>
          <w:rFonts w:ascii="XO Thames" w:hAnsi="XO Thames"/>
          <w:sz w:val="28"/>
          <w:szCs w:val="28"/>
        </w:rPr>
      </w:r>
    </w:p>
    <w:tbl>
      <w:tblPr>
        <w:tblW w:w="10220" w:type="dxa"/>
        <w:jc w:val="start"/>
        <w:tblInd w:w="0" w:type="dxa"/>
        <w:tblLayout w:type="fixed"/>
        <w:tblCellMar>
          <w:top w:w="0" w:type="dxa"/>
          <w:start w:w="108" w:type="dxa"/>
          <w:bottom w:w="0" w:type="dxa"/>
          <w:end w:w="108" w:type="dxa"/>
        </w:tblCellMar>
      </w:tblPr>
      <w:tblGrid>
        <w:gridCol w:w="560"/>
        <w:gridCol w:w="2380"/>
        <w:gridCol w:w="3918"/>
        <w:gridCol w:w="1960"/>
        <w:gridCol w:w="1402"/>
      </w:tblGrid>
      <w:tr>
        <w:trPr/>
        <w:tc>
          <w:tcPr>
            <w:tcW w:w="56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bookmarkStart w:id="270" w:name="sub_310"/>
            <w:r>
              <w:rPr>
                <w:rFonts w:ascii="XO Thames" w:hAnsi="XO Thames"/>
                <w:sz w:val="28"/>
                <w:szCs w:val="28"/>
              </w:rPr>
              <w:t>N п/п</w:t>
            </w:r>
            <w:bookmarkEnd w:id="270"/>
          </w:p>
        </w:tc>
        <w:tc>
          <w:tcPr>
            <w:tcW w:w="23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Предложения, внесенные в акт аудиторского мероприятия</w:t>
            </w:r>
          </w:p>
        </w:tc>
        <w:tc>
          <w:tcPr>
            <w:tcW w:w="3918"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Краткое содержание нарушений, недостатков, выявленных в ходе аудиторского мероприятия (при наличии)</w:t>
            </w:r>
          </w:p>
        </w:tc>
        <w:tc>
          <w:tcPr>
            <w:tcW w:w="196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Срок внедрения предложения и/или устранения недостатка</w:t>
            </w:r>
          </w:p>
        </w:tc>
        <w:tc>
          <w:tcPr>
            <w:tcW w:w="1402"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Принятые меры</w:t>
            </w:r>
          </w:p>
        </w:tc>
      </w:tr>
      <w:tr>
        <w:trPr/>
        <w:tc>
          <w:tcPr>
            <w:tcW w:w="56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1</w:t>
            </w:r>
          </w:p>
        </w:tc>
        <w:tc>
          <w:tcPr>
            <w:tcW w:w="23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2</w:t>
            </w:r>
          </w:p>
        </w:tc>
        <w:tc>
          <w:tcPr>
            <w:tcW w:w="3918"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3</w:t>
            </w:r>
          </w:p>
        </w:tc>
        <w:tc>
          <w:tcPr>
            <w:tcW w:w="196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4</w:t>
            </w:r>
          </w:p>
        </w:tc>
        <w:tc>
          <w:tcPr>
            <w:tcW w:w="1402"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5</w:t>
            </w:r>
          </w:p>
        </w:tc>
      </w:tr>
      <w:tr>
        <w:trPr/>
        <w:tc>
          <w:tcPr>
            <w:tcW w:w="56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238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918"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96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402"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bl>
    <w:p>
      <w:pPr>
        <w:pStyle w:val="Normal"/>
        <w:rPr>
          <w:rFonts w:ascii="XO Thames" w:hAnsi="XO Thames"/>
          <w:sz w:val="28"/>
          <w:szCs w:val="28"/>
        </w:rPr>
      </w:pPr>
      <w:r>
        <w:rPr>
          <w:rFonts w:ascii="XO Thames" w:hAnsi="XO Thames"/>
          <w:sz w:val="28"/>
          <w:szCs w:val="28"/>
        </w:rPr>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Руководитель, должностное лицо</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(работник) структурного подразделения Департамента,</w:t>
      </w:r>
    </w:p>
    <w:p>
      <w:pPr>
        <w:pStyle w:val="Style15"/>
        <w:rPr>
          <w:rFonts w:ascii="XO Thames" w:hAnsi="XO Thames"/>
          <w:sz w:val="28"/>
          <w:szCs w:val="28"/>
        </w:rPr>
      </w:pPr>
      <w:r>
        <w:rPr>
          <w:rFonts w:ascii="XO Thames" w:hAnsi="XO Thames"/>
          <w:sz w:val="28"/>
          <w:szCs w:val="28"/>
        </w:rPr>
        <w:t xml:space="preserve"> </w:t>
      </w:r>
      <w:r>
        <w:rPr>
          <w:rFonts w:ascii="XO Thames" w:hAnsi="XO Thames"/>
          <w:sz w:val="28"/>
          <w:szCs w:val="28"/>
        </w:rPr>
        <w:t>ответственный за выполнение бюджетной процедуры</w:t>
      </w:r>
    </w:p>
    <w:p>
      <w:pPr>
        <w:pStyle w:val="Normal"/>
        <w:rPr>
          <w:rFonts w:ascii="XO Thames" w:hAnsi="XO Thames"/>
          <w:sz w:val="28"/>
          <w:szCs w:val="28"/>
        </w:rPr>
      </w:pPr>
      <w:r>
        <w:rPr>
          <w:rFonts w:ascii="XO Thames" w:hAnsi="XO Thames"/>
          <w:sz w:val="28"/>
          <w:szCs w:val="28"/>
        </w:rPr>
      </w:r>
    </w:p>
    <w:tbl>
      <w:tblPr>
        <w:tblW w:w="9908" w:type="dxa"/>
        <w:jc w:val="start"/>
        <w:tblInd w:w="0" w:type="dxa"/>
        <w:tblLayout w:type="fixed"/>
        <w:tblCellMar>
          <w:top w:w="0" w:type="dxa"/>
          <w:start w:w="108" w:type="dxa"/>
          <w:bottom w:w="0" w:type="dxa"/>
          <w:end w:w="108" w:type="dxa"/>
        </w:tblCellMar>
      </w:tblPr>
      <w:tblGrid>
        <w:gridCol w:w="3456"/>
        <w:gridCol w:w="371"/>
        <w:gridCol w:w="2318"/>
        <w:gridCol w:w="340"/>
        <w:gridCol w:w="3423"/>
      </w:tblGrid>
      <w:tr>
        <w:trPr/>
        <w:tc>
          <w:tcPr>
            <w:tcW w:w="3456"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456"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(должность)</w:t>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(подпись)</w:t>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(расшифровка подписи)</w:t>
            </w:r>
          </w:p>
        </w:tc>
      </w:tr>
    </w:tbl>
    <w:p>
      <w:pPr>
        <w:pStyle w:val="Normal"/>
        <w:rPr>
          <w:rFonts w:ascii="XO Thames" w:hAnsi="XO Thames"/>
          <w:sz w:val="28"/>
          <w:szCs w:val="28"/>
        </w:rPr>
      </w:pPr>
      <w:r>
        <w:rPr>
          <w:rFonts w:ascii="XO Thames" w:hAnsi="XO Thames"/>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pPr>
      <w:bookmarkStart w:id="271" w:name="sub_4000"/>
      <w:bookmarkEnd w:id="271"/>
      <w:r>
        <w:rPr>
          <w:rFonts w:ascii="XO Thames" w:hAnsi="XO Thames"/>
          <w:b/>
          <w:color w:val="26282F"/>
          <w:sz w:val="28"/>
          <w:szCs w:val="28"/>
        </w:rPr>
        <w:t>Приложение 4</w:t>
        <w:br/>
        <w:t xml:space="preserve">к </w:t>
      </w:r>
      <w:hyperlink w:anchor="sub_10000">
        <w:r>
          <w:rPr>
            <w:rStyle w:val="Style"/>
            <w:rFonts w:ascii="XO Thames" w:hAnsi="XO Thames"/>
            <w:b w:val="false"/>
            <w:color w:val="106BBE"/>
            <w:sz w:val="28"/>
            <w:szCs w:val="28"/>
          </w:rPr>
          <w:t>Порядку</w:t>
        </w:r>
      </w:hyperlink>
      <w:r>
        <w:rPr>
          <w:rFonts w:ascii="XO Thames" w:hAnsi="XO Thames"/>
          <w:b/>
          <w:color w:val="26282F"/>
          <w:sz w:val="28"/>
          <w:szCs w:val="28"/>
        </w:rPr>
        <w:t xml:space="preserve"> осуществления</w:t>
        <w:br/>
        <w:t xml:space="preserve">Департаментом труда и социальной </w:t>
      </w:r>
    </w:p>
    <w:p>
      <w:pPr>
        <w:pStyle w:val="Normal"/>
        <w:jc w:val="end"/>
        <w:rPr>
          <w:rFonts w:ascii="XO Thames" w:hAnsi="XO Thames"/>
          <w:b/>
          <w:color w:val="26282F"/>
          <w:sz w:val="28"/>
          <w:szCs w:val="28"/>
        </w:rPr>
      </w:pPr>
      <w:r>
        <w:rPr>
          <w:rFonts w:ascii="XO Thames" w:hAnsi="XO Thames"/>
          <w:b/>
          <w:color w:val="26282F"/>
          <w:sz w:val="28"/>
          <w:szCs w:val="28"/>
        </w:rPr>
        <w:t>защиты населения Ненецкого</w:t>
        <w:br/>
        <w:t>автономного округа внутреннего</w:t>
        <w:br/>
        <w:t>финансового аудита</w:t>
      </w:r>
    </w:p>
    <w:p>
      <w:pPr>
        <w:pStyle w:val="Normal"/>
        <w:rPr>
          <w:rFonts w:ascii="XO Thames" w:hAnsi="XO Thames"/>
          <w:sz w:val="28"/>
          <w:szCs w:val="28"/>
        </w:rPr>
      </w:pPr>
      <w:r>
        <w:rPr>
          <w:rFonts w:ascii="XO Thames" w:hAnsi="XO Thames"/>
          <w:sz w:val="28"/>
          <w:szCs w:val="28"/>
        </w:rPr>
      </w:r>
      <w:bookmarkStart w:id="272" w:name="sub_4000_Копия_1"/>
      <w:bookmarkStart w:id="273" w:name="sub_4000_Копия_1"/>
      <w:bookmarkEnd w:id="273"/>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t>ОТЧЕТНОСТЬ</w:t>
        <w:br/>
        <w:t>о результатах осуществления внутреннего финансового аудита</w:t>
      </w:r>
    </w:p>
    <w:p>
      <w:pPr>
        <w:pStyle w:val="Normal"/>
        <w:rPr>
          <w:rFonts w:ascii="XO Thames" w:hAnsi="XO Thames"/>
          <w:sz w:val="28"/>
          <w:szCs w:val="28"/>
        </w:rPr>
      </w:pPr>
      <w:r>
        <w:rPr>
          <w:rFonts w:ascii="XO Thames" w:hAnsi="XO Thames"/>
          <w:sz w:val="28"/>
          <w:szCs w:val="28"/>
        </w:rPr>
      </w:r>
    </w:p>
    <w:tbl>
      <w:tblPr>
        <w:tblW w:w="9800" w:type="dxa"/>
        <w:jc w:val="start"/>
        <w:tblInd w:w="0" w:type="dxa"/>
        <w:tblLayout w:type="fixed"/>
        <w:tblCellMar>
          <w:top w:w="0" w:type="dxa"/>
          <w:start w:w="108" w:type="dxa"/>
          <w:bottom w:w="0" w:type="dxa"/>
          <w:end w:w="108" w:type="dxa"/>
        </w:tblCellMar>
      </w:tblPr>
      <w:tblGrid>
        <w:gridCol w:w="3360"/>
        <w:gridCol w:w="3219"/>
        <w:gridCol w:w="1542"/>
        <w:gridCol w:w="1678"/>
      </w:tblGrid>
      <w:tr>
        <w:trPr/>
        <w:tc>
          <w:tcPr>
            <w:tcW w:w="3360" w:type="dxa"/>
            <w:tcBorders/>
          </w:tcPr>
          <w:p>
            <w:pPr>
              <w:pStyle w:val="Style16"/>
              <w:tabs>
                <w:tab w:val="clear" w:pos="709"/>
              </w:tabs>
              <w:rPr>
                <w:rFonts w:ascii="XO Thames" w:hAnsi="XO Thames"/>
                <w:sz w:val="28"/>
                <w:szCs w:val="28"/>
              </w:rPr>
            </w:pPr>
            <w:r>
              <w:rPr>
                <w:rFonts w:ascii="XO Thames" w:hAnsi="XO Thames"/>
                <w:sz w:val="28"/>
                <w:szCs w:val="28"/>
              </w:rPr>
            </w:r>
          </w:p>
        </w:tc>
        <w:tc>
          <w:tcPr>
            <w:tcW w:w="3219" w:type="dxa"/>
            <w:tcBorders/>
          </w:tcPr>
          <w:p>
            <w:pPr>
              <w:pStyle w:val="Style16"/>
              <w:tabs>
                <w:tab w:val="clear" w:pos="709"/>
              </w:tabs>
              <w:rPr>
                <w:rFonts w:ascii="XO Thames" w:hAnsi="XO Thames"/>
                <w:sz w:val="28"/>
                <w:szCs w:val="28"/>
              </w:rPr>
            </w:pPr>
            <w:r>
              <w:rPr>
                <w:rFonts w:ascii="XO Thames" w:hAnsi="XO Thames"/>
                <w:sz w:val="28"/>
                <w:szCs w:val="28"/>
              </w:rPr>
            </w:r>
          </w:p>
        </w:tc>
        <w:tc>
          <w:tcPr>
            <w:tcW w:w="1542" w:type="dxa"/>
            <w:tcBorders>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678"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t>КОДЫ</w:t>
            </w:r>
          </w:p>
        </w:tc>
      </w:tr>
      <w:tr>
        <w:trPr/>
        <w:tc>
          <w:tcPr>
            <w:tcW w:w="3360" w:type="dxa"/>
            <w:tcBorders/>
          </w:tcPr>
          <w:p>
            <w:pPr>
              <w:pStyle w:val="Style16"/>
              <w:tabs>
                <w:tab w:val="clear" w:pos="709"/>
              </w:tabs>
              <w:rPr>
                <w:rFonts w:ascii="XO Thames" w:hAnsi="XO Thames"/>
                <w:sz w:val="28"/>
                <w:szCs w:val="28"/>
              </w:rPr>
            </w:pPr>
            <w:r>
              <w:rPr>
                <w:rFonts w:ascii="XO Thames" w:hAnsi="XO Thames"/>
                <w:sz w:val="28"/>
                <w:szCs w:val="28"/>
              </w:rPr>
            </w:r>
          </w:p>
        </w:tc>
        <w:tc>
          <w:tcPr>
            <w:tcW w:w="3219" w:type="dxa"/>
            <w:tcBorders/>
          </w:tcPr>
          <w:p>
            <w:pPr>
              <w:pStyle w:val="Style16"/>
              <w:tabs>
                <w:tab w:val="clear" w:pos="709"/>
              </w:tabs>
              <w:rPr>
                <w:rFonts w:ascii="XO Thames" w:hAnsi="XO Thames"/>
                <w:sz w:val="28"/>
                <w:szCs w:val="28"/>
              </w:rPr>
            </w:pPr>
            <w:r>
              <w:rPr>
                <w:rFonts w:ascii="XO Thames" w:hAnsi="XO Thames"/>
                <w:sz w:val="28"/>
                <w:szCs w:val="28"/>
              </w:rPr>
            </w:r>
          </w:p>
        </w:tc>
        <w:tc>
          <w:tcPr>
            <w:tcW w:w="1542" w:type="dxa"/>
            <w:tcBorders>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678"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360" w:type="dxa"/>
            <w:tcBorders/>
          </w:tcPr>
          <w:p>
            <w:pPr>
              <w:pStyle w:val="Style16"/>
              <w:tabs>
                <w:tab w:val="clear" w:pos="709"/>
              </w:tabs>
              <w:rPr>
                <w:rFonts w:ascii="XO Thames" w:hAnsi="XO Thames"/>
                <w:sz w:val="28"/>
                <w:szCs w:val="28"/>
              </w:rPr>
            </w:pPr>
            <w:r>
              <w:rPr>
                <w:rFonts w:ascii="XO Thames" w:hAnsi="XO Thames"/>
                <w:sz w:val="28"/>
                <w:szCs w:val="28"/>
              </w:rPr>
            </w:r>
          </w:p>
        </w:tc>
        <w:tc>
          <w:tcPr>
            <w:tcW w:w="3219" w:type="dxa"/>
            <w:tcBorders/>
          </w:tcPr>
          <w:p>
            <w:pPr>
              <w:pStyle w:val="Style16"/>
              <w:tabs>
                <w:tab w:val="clear" w:pos="709"/>
              </w:tabs>
              <w:rPr>
                <w:rFonts w:ascii="XO Thames" w:hAnsi="XO Thames"/>
                <w:sz w:val="28"/>
                <w:szCs w:val="28"/>
              </w:rPr>
            </w:pPr>
            <w:r>
              <w:rPr>
                <w:rFonts w:ascii="XO Thames" w:hAnsi="XO Thames"/>
                <w:sz w:val="28"/>
                <w:szCs w:val="28"/>
              </w:rPr>
              <w:t>__ ___________ 20__ г.</w:t>
            </w:r>
          </w:p>
        </w:tc>
        <w:tc>
          <w:tcPr>
            <w:tcW w:w="1542" w:type="dxa"/>
            <w:tcBorders>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t>Дата</w:t>
            </w:r>
          </w:p>
        </w:tc>
        <w:tc>
          <w:tcPr>
            <w:tcW w:w="1678"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360" w:type="dxa"/>
            <w:tcBorders/>
          </w:tcPr>
          <w:p>
            <w:pPr>
              <w:pStyle w:val="Style17"/>
              <w:tabs>
                <w:tab w:val="clear" w:pos="709"/>
              </w:tabs>
              <w:rPr>
                <w:rFonts w:ascii="XO Thames" w:hAnsi="XO Thames"/>
                <w:sz w:val="28"/>
                <w:szCs w:val="28"/>
              </w:rPr>
            </w:pPr>
            <w:r>
              <w:rPr>
                <w:rFonts w:ascii="XO Thames" w:hAnsi="XO Thames"/>
                <w:sz w:val="28"/>
                <w:szCs w:val="28"/>
              </w:rPr>
              <w:t>Наименование главного администратора бюджетных средств, администратора бюджетных средств</w:t>
            </w:r>
          </w:p>
        </w:tc>
        <w:tc>
          <w:tcPr>
            <w:tcW w:w="3219" w:type="dxa"/>
            <w:tcBorders/>
          </w:tcPr>
          <w:p>
            <w:pPr>
              <w:pStyle w:val="Style16"/>
              <w:tabs>
                <w:tab w:val="clear" w:pos="709"/>
              </w:tabs>
              <w:rPr>
                <w:rFonts w:ascii="XO Thames" w:hAnsi="XO Thames"/>
                <w:sz w:val="28"/>
                <w:szCs w:val="28"/>
              </w:rPr>
            </w:pPr>
            <w:r>
              <w:rPr>
                <w:rFonts w:ascii="XO Thames" w:hAnsi="XO Thames"/>
                <w:sz w:val="28"/>
                <w:szCs w:val="28"/>
              </w:rPr>
              <w:t>____________________</w:t>
            </w:r>
          </w:p>
        </w:tc>
        <w:tc>
          <w:tcPr>
            <w:tcW w:w="1542" w:type="dxa"/>
            <w:tcBorders>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t>Глава по БК</w:t>
            </w:r>
          </w:p>
        </w:tc>
        <w:tc>
          <w:tcPr>
            <w:tcW w:w="1678"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360" w:type="dxa"/>
            <w:tcBorders/>
          </w:tcPr>
          <w:p>
            <w:pPr>
              <w:pStyle w:val="Style16"/>
              <w:tabs>
                <w:tab w:val="clear" w:pos="709"/>
              </w:tabs>
              <w:rPr>
                <w:rFonts w:ascii="XO Thames" w:hAnsi="XO Thames"/>
                <w:sz w:val="28"/>
                <w:szCs w:val="28"/>
              </w:rPr>
            </w:pPr>
            <w:r>
              <w:rPr>
                <w:rFonts w:ascii="XO Thames" w:hAnsi="XO Thames"/>
                <w:sz w:val="28"/>
                <w:szCs w:val="28"/>
              </w:rPr>
              <w:t>Наименование бюджета</w:t>
            </w:r>
          </w:p>
        </w:tc>
        <w:tc>
          <w:tcPr>
            <w:tcW w:w="3219" w:type="dxa"/>
            <w:tcBorders/>
          </w:tcPr>
          <w:p>
            <w:pPr>
              <w:pStyle w:val="Style16"/>
              <w:tabs>
                <w:tab w:val="clear" w:pos="709"/>
              </w:tabs>
              <w:rPr>
                <w:rFonts w:ascii="XO Thames" w:hAnsi="XO Thames"/>
                <w:sz w:val="28"/>
                <w:szCs w:val="28"/>
              </w:rPr>
            </w:pPr>
            <w:r>
              <w:rPr>
                <w:rFonts w:ascii="XO Thames" w:hAnsi="XO Thames"/>
                <w:sz w:val="28"/>
                <w:szCs w:val="28"/>
              </w:rPr>
              <w:t>____________________</w:t>
            </w:r>
          </w:p>
        </w:tc>
        <w:tc>
          <w:tcPr>
            <w:tcW w:w="1542" w:type="dxa"/>
            <w:tcBorders>
              <w:end w:val="single" w:sz="4" w:space="0" w:color="000000"/>
            </w:tcBorders>
          </w:tcPr>
          <w:p>
            <w:pPr>
              <w:pStyle w:val="Style16"/>
              <w:tabs>
                <w:tab w:val="clear" w:pos="709"/>
              </w:tabs>
              <w:rPr/>
            </w:pPr>
            <w:r>
              <w:rPr>
                <w:rFonts w:ascii="XO Thames" w:hAnsi="XO Thames"/>
                <w:sz w:val="28"/>
                <w:szCs w:val="28"/>
              </w:rPr>
              <w:t xml:space="preserve">по </w:t>
            </w:r>
            <w:hyperlink r:id="rId9">
              <w:r>
                <w:rPr>
                  <w:rStyle w:val="Style"/>
                  <w:rFonts w:ascii="XO Thames" w:hAnsi="XO Thames"/>
                  <w:b w:val="false"/>
                  <w:color w:val="106BBE"/>
                  <w:sz w:val="28"/>
                  <w:szCs w:val="28"/>
                </w:rPr>
                <w:t>ОКТМО</w:t>
              </w:r>
            </w:hyperlink>
          </w:p>
        </w:tc>
        <w:tc>
          <w:tcPr>
            <w:tcW w:w="1678"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360" w:type="dxa"/>
            <w:tcBorders/>
          </w:tcPr>
          <w:p>
            <w:pPr>
              <w:pStyle w:val="Style16"/>
              <w:tabs>
                <w:tab w:val="clear" w:pos="709"/>
              </w:tabs>
              <w:rPr>
                <w:rFonts w:ascii="XO Thames" w:hAnsi="XO Thames"/>
                <w:sz w:val="28"/>
                <w:szCs w:val="28"/>
              </w:rPr>
            </w:pPr>
            <w:r>
              <w:rPr>
                <w:rFonts w:ascii="XO Thames" w:hAnsi="XO Thames"/>
                <w:sz w:val="28"/>
                <w:szCs w:val="28"/>
              </w:rPr>
              <w:t>Периодичность: годовая</w:t>
            </w:r>
          </w:p>
        </w:tc>
        <w:tc>
          <w:tcPr>
            <w:tcW w:w="3219" w:type="dxa"/>
            <w:tcBorders/>
          </w:tcPr>
          <w:p>
            <w:pPr>
              <w:pStyle w:val="Style16"/>
              <w:tabs>
                <w:tab w:val="clear" w:pos="709"/>
              </w:tabs>
              <w:rPr>
                <w:rFonts w:ascii="XO Thames" w:hAnsi="XO Thames"/>
                <w:sz w:val="28"/>
                <w:szCs w:val="28"/>
              </w:rPr>
            </w:pPr>
            <w:r>
              <w:rPr>
                <w:rFonts w:ascii="XO Thames" w:hAnsi="XO Thames"/>
                <w:sz w:val="28"/>
                <w:szCs w:val="28"/>
              </w:rPr>
            </w:r>
          </w:p>
        </w:tc>
        <w:tc>
          <w:tcPr>
            <w:tcW w:w="1542" w:type="dxa"/>
            <w:tcBorders>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678"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bl>
    <w:p>
      <w:pPr>
        <w:pStyle w:val="Normal"/>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bookmarkStart w:id="274" w:name="sub_410"/>
      <w:bookmarkEnd w:id="274"/>
      <w:r>
        <w:rPr>
          <w:rFonts w:ascii="XO Thames" w:hAnsi="XO Thames"/>
          <w:sz w:val="28"/>
          <w:szCs w:val="28"/>
        </w:rPr>
        <w:t>1. Общие сведения о результатах внутреннего финансового аудита</w:t>
      </w:r>
    </w:p>
    <w:p>
      <w:pPr>
        <w:pStyle w:val="Normal"/>
        <w:rPr>
          <w:rFonts w:ascii="XO Thames" w:hAnsi="XO Thames"/>
          <w:sz w:val="28"/>
          <w:szCs w:val="28"/>
        </w:rPr>
      </w:pPr>
      <w:r>
        <w:rPr>
          <w:rFonts w:ascii="XO Thames" w:hAnsi="XO Thames"/>
          <w:sz w:val="28"/>
          <w:szCs w:val="28"/>
        </w:rPr>
      </w:r>
      <w:bookmarkStart w:id="275" w:name="sub_410_Копия_1"/>
      <w:bookmarkStart w:id="276" w:name="sub_410_Копия_1"/>
      <w:bookmarkEnd w:id="276"/>
    </w:p>
    <w:tbl>
      <w:tblPr>
        <w:tblW w:w="9800" w:type="dxa"/>
        <w:jc w:val="start"/>
        <w:tblInd w:w="0" w:type="dxa"/>
        <w:tblLayout w:type="fixed"/>
        <w:tblCellMar>
          <w:top w:w="0" w:type="dxa"/>
          <w:start w:w="108" w:type="dxa"/>
          <w:bottom w:w="0" w:type="dxa"/>
          <w:end w:w="108" w:type="dxa"/>
        </w:tblCellMar>
      </w:tblPr>
      <w:tblGrid>
        <w:gridCol w:w="6300"/>
        <w:gridCol w:w="980"/>
        <w:gridCol w:w="2520"/>
      </w:tblGrid>
      <w:tr>
        <w:trPr/>
        <w:tc>
          <w:tcPr>
            <w:tcW w:w="630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Наименование показателя</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Код строки</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Значения показателя</w:t>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1</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2</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3</w:t>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Штатная численность субъекта внутреннего финансового аудита, человек</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010</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из них:</w:t>
            </w:r>
          </w:p>
          <w:p>
            <w:pPr>
              <w:pStyle w:val="Style17"/>
              <w:tabs>
                <w:tab w:val="clear" w:pos="709"/>
              </w:tabs>
              <w:rPr>
                <w:rFonts w:ascii="XO Thames" w:hAnsi="XO Thames"/>
                <w:sz w:val="28"/>
                <w:szCs w:val="28"/>
              </w:rPr>
            </w:pPr>
            <w:r>
              <w:rPr>
                <w:rFonts w:ascii="XO Thames" w:hAnsi="XO Thames"/>
                <w:sz w:val="28"/>
                <w:szCs w:val="28"/>
              </w:rPr>
              <w:t>фактическая численность субъекта внутреннего финансового аудита</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011</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Количество проведенных аудиторских мероприятий, единиц</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020</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в том числе:</w:t>
            </w:r>
          </w:p>
          <w:p>
            <w:pPr>
              <w:pStyle w:val="Style17"/>
              <w:tabs>
                <w:tab w:val="clear" w:pos="709"/>
              </w:tabs>
              <w:rPr>
                <w:rFonts w:ascii="XO Thames" w:hAnsi="XO Thames"/>
                <w:sz w:val="28"/>
                <w:szCs w:val="28"/>
              </w:rPr>
            </w:pPr>
            <w:r>
              <w:rPr>
                <w:rFonts w:ascii="XO Thames" w:hAnsi="XO Thames"/>
                <w:sz w:val="28"/>
                <w:szCs w:val="28"/>
              </w:rPr>
              <w:t>в отношении системы внутреннего финансового контроля</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021</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достоверности бюджетной отчетности</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022</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экономности и результативности использования бюджетных средств</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023</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Количество аудиторских мероприятий, предусмотренных в плане внутреннего финансового аудита на отчетный год, единиц</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030</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из них:</w:t>
            </w:r>
          </w:p>
          <w:p>
            <w:pPr>
              <w:pStyle w:val="Style17"/>
              <w:tabs>
                <w:tab w:val="clear" w:pos="709"/>
              </w:tabs>
              <w:rPr>
                <w:rFonts w:ascii="XO Thames" w:hAnsi="XO Thames"/>
                <w:sz w:val="28"/>
                <w:szCs w:val="28"/>
              </w:rPr>
            </w:pPr>
            <w:r>
              <w:rPr>
                <w:rFonts w:ascii="XO Thames" w:hAnsi="XO Thames"/>
                <w:sz w:val="28"/>
                <w:szCs w:val="28"/>
              </w:rPr>
              <w:t>количество проведенных плановых аудиторских мероприятий</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031</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Количество проведенных внеплановых аудиторских мероприятий, единиц</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040</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Количество направленных рекомендаций по повышению эффективности внутреннего финансового контроля, единиц</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050</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из них:</w:t>
            </w:r>
          </w:p>
          <w:p>
            <w:pPr>
              <w:pStyle w:val="Style17"/>
              <w:tabs>
                <w:tab w:val="clear" w:pos="709"/>
              </w:tabs>
              <w:rPr>
                <w:rFonts w:ascii="XO Thames" w:hAnsi="XO Thames"/>
                <w:sz w:val="28"/>
                <w:szCs w:val="28"/>
              </w:rPr>
            </w:pPr>
            <w:r>
              <w:rPr>
                <w:rFonts w:ascii="XO Thames" w:hAnsi="XO Thames"/>
                <w:sz w:val="28"/>
                <w:szCs w:val="28"/>
              </w:rPr>
              <w:t>количество исполненных рекомендаций</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051</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Количество направленных предложений о повышении экономности и результативности использования бюджетных средств, единиц</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060</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6300"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из них:</w:t>
            </w:r>
          </w:p>
          <w:p>
            <w:pPr>
              <w:pStyle w:val="Style17"/>
              <w:tabs>
                <w:tab w:val="clear" w:pos="709"/>
              </w:tabs>
              <w:rPr>
                <w:rFonts w:ascii="XO Thames" w:hAnsi="XO Thames"/>
                <w:sz w:val="28"/>
                <w:szCs w:val="28"/>
              </w:rPr>
            </w:pPr>
            <w:r>
              <w:rPr>
                <w:rFonts w:ascii="XO Thames" w:hAnsi="XO Thames"/>
                <w:sz w:val="28"/>
                <w:szCs w:val="28"/>
              </w:rPr>
              <w:t>количество исполненных предложений</w:t>
            </w:r>
          </w:p>
        </w:tc>
        <w:tc>
          <w:tcPr>
            <w:tcW w:w="98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061</w:t>
            </w:r>
          </w:p>
        </w:tc>
        <w:tc>
          <w:tcPr>
            <w:tcW w:w="25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bl>
    <w:p>
      <w:pPr>
        <w:pStyle w:val="Normal"/>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bookmarkStart w:id="277" w:name="sub_420"/>
      <w:bookmarkEnd w:id="277"/>
      <w:r>
        <w:rPr>
          <w:rFonts w:ascii="XO Thames" w:hAnsi="XO Thames"/>
          <w:sz w:val="28"/>
          <w:szCs w:val="28"/>
        </w:rPr>
        <w:t>2. Сведения о выявленных нарушениях и недостатках, тыс. руб.</w:t>
      </w:r>
    </w:p>
    <w:p>
      <w:pPr>
        <w:pStyle w:val="Normal"/>
        <w:rPr>
          <w:rFonts w:ascii="XO Thames" w:hAnsi="XO Thames"/>
          <w:sz w:val="28"/>
          <w:szCs w:val="28"/>
        </w:rPr>
      </w:pPr>
      <w:r>
        <w:rPr>
          <w:rFonts w:ascii="XO Thames" w:hAnsi="XO Thames"/>
          <w:sz w:val="28"/>
          <w:szCs w:val="28"/>
        </w:rPr>
      </w:r>
      <w:bookmarkStart w:id="278" w:name="sub_420_Копия_1"/>
      <w:bookmarkStart w:id="279" w:name="sub_420_Копия_1"/>
      <w:bookmarkEnd w:id="279"/>
    </w:p>
    <w:tbl>
      <w:tblPr>
        <w:tblW w:w="9800" w:type="dxa"/>
        <w:jc w:val="start"/>
        <w:tblInd w:w="0" w:type="dxa"/>
        <w:tblLayout w:type="fixed"/>
        <w:tblCellMar>
          <w:top w:w="0" w:type="dxa"/>
          <w:start w:w="108" w:type="dxa"/>
          <w:bottom w:w="0" w:type="dxa"/>
          <w:end w:w="108" w:type="dxa"/>
        </w:tblCellMar>
      </w:tblPr>
      <w:tblGrid>
        <w:gridCol w:w="4479"/>
        <w:gridCol w:w="841"/>
        <w:gridCol w:w="1119"/>
        <w:gridCol w:w="1120"/>
        <w:gridCol w:w="1120"/>
        <w:gridCol w:w="1120"/>
      </w:tblGrid>
      <w:tr>
        <w:trPr/>
        <w:tc>
          <w:tcPr>
            <w:tcW w:w="4479" w:type="dxa"/>
            <w:vMerge w:val="restart"/>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Наименование показателя</w:t>
            </w:r>
          </w:p>
        </w:tc>
        <w:tc>
          <w:tcPr>
            <w:tcW w:w="841" w:type="dxa"/>
            <w:vMerge w:val="restart"/>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Код строки</w:t>
            </w:r>
          </w:p>
        </w:tc>
        <w:tc>
          <w:tcPr>
            <w:tcW w:w="1119" w:type="dxa"/>
            <w:vMerge w:val="restart"/>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Количество (единиц)</w:t>
            </w:r>
          </w:p>
        </w:tc>
        <w:tc>
          <w:tcPr>
            <w:tcW w:w="1120" w:type="dxa"/>
            <w:vMerge w:val="restart"/>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Объем (тыс. руб.)</w:t>
            </w:r>
          </w:p>
        </w:tc>
        <w:tc>
          <w:tcPr>
            <w:tcW w:w="2240" w:type="dxa"/>
            <w:gridSpan w:val="2"/>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Динамика нарушений и недостатков</w:t>
            </w:r>
          </w:p>
        </w:tc>
      </w:tr>
      <w:tr>
        <w:trPr/>
        <w:tc>
          <w:tcPr>
            <w:tcW w:w="4479" w:type="dxa"/>
            <w:vMerge w:val="continue"/>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19" w:type="dxa"/>
            <w:vMerge w:val="continue"/>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vMerge w:val="continue"/>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(тыс. руб.)</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w:t>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1</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2</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3</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4</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5</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6</w:t>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Нецелевое использование бюджетных средств</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010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Неправомерное использование бюджетных средств (кроме нецелевого использования)</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020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pPr>
            <w:r>
              <w:rPr>
                <w:rFonts w:ascii="XO Thames" w:hAnsi="XO Thames"/>
                <w:sz w:val="28"/>
                <w:szCs w:val="28"/>
              </w:rPr>
              <w:t xml:space="preserve">Нарушения процедур составления и исполнения бюджета по расходам, установленных </w:t>
            </w:r>
            <w:hyperlink r:id="rId10">
              <w:r>
                <w:rPr>
                  <w:rStyle w:val="Style"/>
                  <w:rFonts w:ascii="XO Thames" w:hAnsi="XO Thames"/>
                  <w:b w:val="false"/>
                  <w:color w:val="106BBE"/>
                  <w:sz w:val="28"/>
                  <w:szCs w:val="28"/>
                </w:rPr>
                <w:t>бюджетным законодательством</w:t>
              </w:r>
            </w:hyperlink>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030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Нарушения правил ведения бюджетного учета</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040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Нарушения порядка составления бюджетной отчетности</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050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Несоблюдение порядка, целей и условий предоставления средств из бюджета (субсидий, инвестиций), предоставления кредитов и займов, обеспеченных государственными гарантиями</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060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Нарушения порядка администрирования доходов бюджета</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070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Нарушения в сфере закупок в части обоснования закупок и исполнения контрактов</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080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Нарушения установленных процедур и требований по осуществлению внутреннего финансового контроля</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090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t>X</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t>X</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4479" w:type="dxa"/>
            <w:tcBorders>
              <w:top w:val="single" w:sz="4" w:space="0" w:color="000000"/>
              <w:start w:val="single" w:sz="4" w:space="0" w:color="000000"/>
              <w:bottom w:val="single" w:sz="4" w:space="0" w:color="000000"/>
              <w:end w:val="single" w:sz="4" w:space="0" w:color="000000"/>
            </w:tcBorders>
          </w:tcPr>
          <w:p>
            <w:pPr>
              <w:pStyle w:val="Style17"/>
              <w:tabs>
                <w:tab w:val="clear" w:pos="709"/>
              </w:tabs>
              <w:rPr>
                <w:rFonts w:ascii="XO Thames" w:hAnsi="XO Thames"/>
                <w:sz w:val="28"/>
                <w:szCs w:val="28"/>
              </w:rPr>
            </w:pPr>
            <w:r>
              <w:rPr>
                <w:rFonts w:ascii="XO Thames" w:hAnsi="XO Thames"/>
                <w:sz w:val="28"/>
                <w:szCs w:val="28"/>
              </w:rPr>
              <w:t>Прочие нарушения и недостатки</w:t>
            </w:r>
          </w:p>
        </w:tc>
        <w:tc>
          <w:tcPr>
            <w:tcW w:w="84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100</w:t>
            </w:r>
          </w:p>
        </w:tc>
        <w:tc>
          <w:tcPr>
            <w:tcW w:w="1119"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bl>
    <w:p>
      <w:pPr>
        <w:pStyle w:val="Normal"/>
        <w:rPr>
          <w:rFonts w:ascii="XO Thames" w:hAnsi="XO Thames"/>
          <w:sz w:val="28"/>
          <w:szCs w:val="28"/>
        </w:rPr>
      </w:pPr>
      <w:r>
        <w:rPr>
          <w:rFonts w:ascii="XO Thames" w:hAnsi="XO Thames"/>
          <w:sz w:val="28"/>
          <w:szCs w:val="28"/>
        </w:rPr>
      </w:r>
    </w:p>
    <w:p>
      <w:pPr>
        <w:pStyle w:val="Normal"/>
        <w:rPr>
          <w:rFonts w:ascii="XO Thames" w:hAnsi="XO Thames"/>
          <w:sz w:val="28"/>
          <w:szCs w:val="28"/>
        </w:rPr>
      </w:pPr>
      <w:r>
        <w:rPr>
          <w:rFonts w:ascii="XO Thames" w:hAnsi="XO Thames"/>
          <w:sz w:val="28"/>
          <w:szCs w:val="28"/>
        </w:rPr>
      </w:r>
    </w:p>
    <w:p>
      <w:pPr>
        <w:pStyle w:val="Normal"/>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r>
    </w:p>
    <w:p>
      <w:pPr>
        <w:pStyle w:val="Heading1"/>
        <w:ind w:hanging="0" w:start="0"/>
        <w:rPr>
          <w:rFonts w:ascii="XO Thames" w:hAnsi="XO Thames"/>
          <w:sz w:val="28"/>
          <w:szCs w:val="28"/>
        </w:rPr>
      </w:pPr>
      <w:r>
        <w:rPr>
          <w:rFonts w:ascii="XO Thames" w:hAnsi="XO Thames"/>
          <w:sz w:val="28"/>
          <w:szCs w:val="28"/>
        </w:rPr>
        <w:t>Пояснительная записка</w:t>
      </w:r>
    </w:p>
    <w:p>
      <w:pPr>
        <w:pStyle w:val="Normal"/>
        <w:rPr>
          <w:rFonts w:ascii="XO Thames" w:hAnsi="XO Thames"/>
          <w:sz w:val="28"/>
          <w:szCs w:val="28"/>
        </w:rPr>
      </w:pPr>
      <w:r>
        <w:rPr>
          <w:rFonts w:ascii="XO Thames" w:hAnsi="XO Thames"/>
          <w:sz w:val="28"/>
          <w:szCs w:val="28"/>
        </w:rPr>
      </w:r>
    </w:p>
    <w:p>
      <w:pPr>
        <w:pStyle w:val="Style17"/>
        <w:rPr>
          <w:rFonts w:ascii="XO Thames" w:hAnsi="XO Thames"/>
          <w:sz w:val="28"/>
          <w:szCs w:val="28"/>
        </w:rPr>
      </w:pPr>
      <w:r>
        <w:rPr>
          <w:rFonts w:ascii="XO Thames" w:hAnsi="XO Thames"/>
          <w:sz w:val="28"/>
          <w:szCs w:val="28"/>
        </w:rPr>
        <w:t>___________________________________________________________________________</w:t>
      </w:r>
    </w:p>
    <w:p>
      <w:pPr>
        <w:pStyle w:val="Style17"/>
        <w:rPr>
          <w:rFonts w:ascii="XO Thames" w:hAnsi="XO Thames"/>
          <w:sz w:val="28"/>
          <w:szCs w:val="28"/>
        </w:rPr>
      </w:pPr>
      <w:r>
        <w:rPr>
          <w:rFonts w:ascii="XO Thames" w:hAnsi="XO Thames"/>
          <w:sz w:val="28"/>
          <w:szCs w:val="28"/>
        </w:rPr>
        <w:t>___________________________________________________________________________</w:t>
      </w:r>
    </w:p>
    <w:p>
      <w:pPr>
        <w:pStyle w:val="Style17"/>
        <w:rPr>
          <w:rFonts w:ascii="XO Thames" w:hAnsi="XO Thames"/>
          <w:sz w:val="28"/>
          <w:szCs w:val="28"/>
        </w:rPr>
      </w:pPr>
      <w:r>
        <w:rPr>
          <w:rFonts w:ascii="XO Thames" w:hAnsi="XO Thames"/>
          <w:sz w:val="28"/>
          <w:szCs w:val="28"/>
        </w:rPr>
        <w:t>___________________________________________________________________________</w:t>
      </w:r>
    </w:p>
    <w:p>
      <w:pPr>
        <w:pStyle w:val="Style17"/>
        <w:rPr>
          <w:rFonts w:ascii="XO Thames" w:hAnsi="XO Thames"/>
          <w:sz w:val="28"/>
          <w:szCs w:val="28"/>
        </w:rPr>
      </w:pPr>
      <w:r>
        <w:rPr>
          <w:rFonts w:ascii="XO Thames" w:hAnsi="XO Thames"/>
          <w:sz w:val="28"/>
          <w:szCs w:val="28"/>
        </w:rPr>
        <w:t>___________________________________________________________________________</w:t>
      </w:r>
    </w:p>
    <w:p>
      <w:pPr>
        <w:pStyle w:val="Style17"/>
        <w:rPr>
          <w:rFonts w:ascii="XO Thames" w:hAnsi="XO Thames"/>
          <w:sz w:val="28"/>
          <w:szCs w:val="28"/>
        </w:rPr>
      </w:pPr>
      <w:r>
        <w:rPr>
          <w:rFonts w:ascii="XO Thames" w:hAnsi="XO Thames"/>
          <w:sz w:val="28"/>
          <w:szCs w:val="28"/>
        </w:rPr>
        <w:t>___________________________________________________________________________</w:t>
      </w:r>
    </w:p>
    <w:p>
      <w:pPr>
        <w:pStyle w:val="Style17"/>
        <w:rPr>
          <w:rFonts w:ascii="XO Thames" w:hAnsi="XO Thames"/>
          <w:sz w:val="28"/>
          <w:szCs w:val="28"/>
        </w:rPr>
      </w:pPr>
      <w:r>
        <w:rPr>
          <w:rFonts w:ascii="XO Thames" w:hAnsi="XO Thames"/>
          <w:sz w:val="28"/>
          <w:szCs w:val="28"/>
        </w:rPr>
        <w:t>___________________________________________________________________________</w:t>
      </w:r>
    </w:p>
    <w:p>
      <w:pPr>
        <w:pStyle w:val="Normal"/>
        <w:rPr>
          <w:rFonts w:ascii="XO Thames" w:hAnsi="XO Thames"/>
          <w:sz w:val="28"/>
          <w:szCs w:val="28"/>
        </w:rPr>
      </w:pPr>
      <w:r>
        <w:rPr>
          <w:rFonts w:ascii="XO Thames" w:hAnsi="XO Thames"/>
          <w:sz w:val="28"/>
          <w:szCs w:val="28"/>
        </w:rPr>
      </w:r>
    </w:p>
    <w:p>
      <w:pPr>
        <w:pStyle w:val="Style17"/>
        <w:rPr>
          <w:rFonts w:ascii="XO Thames" w:hAnsi="XO Thames"/>
          <w:sz w:val="28"/>
          <w:szCs w:val="28"/>
        </w:rPr>
      </w:pPr>
      <w:r>
        <w:rPr>
          <w:rFonts w:ascii="XO Thames" w:hAnsi="XO Thames"/>
          <w:sz w:val="28"/>
          <w:szCs w:val="28"/>
        </w:rPr>
        <w:t>Должностное лицо</w:t>
      </w:r>
    </w:p>
    <w:p>
      <w:pPr>
        <w:pStyle w:val="Normal"/>
        <w:rPr>
          <w:rFonts w:ascii="XO Thames" w:hAnsi="XO Thames"/>
          <w:sz w:val="28"/>
          <w:szCs w:val="28"/>
        </w:rPr>
      </w:pPr>
      <w:r>
        <w:rPr>
          <w:rFonts w:ascii="XO Thames" w:hAnsi="XO Thames"/>
          <w:sz w:val="28"/>
          <w:szCs w:val="28"/>
        </w:rPr>
      </w:r>
    </w:p>
    <w:tbl>
      <w:tblPr>
        <w:tblW w:w="9908" w:type="dxa"/>
        <w:jc w:val="start"/>
        <w:tblInd w:w="0" w:type="dxa"/>
        <w:tblLayout w:type="fixed"/>
        <w:tblCellMar>
          <w:top w:w="0" w:type="dxa"/>
          <w:start w:w="108" w:type="dxa"/>
          <w:bottom w:w="0" w:type="dxa"/>
          <w:end w:w="108" w:type="dxa"/>
        </w:tblCellMar>
      </w:tblPr>
      <w:tblGrid>
        <w:gridCol w:w="3456"/>
        <w:gridCol w:w="371"/>
        <w:gridCol w:w="2318"/>
        <w:gridCol w:w="340"/>
        <w:gridCol w:w="3423"/>
      </w:tblGrid>
      <w:tr>
        <w:trPr/>
        <w:tc>
          <w:tcPr>
            <w:tcW w:w="3456"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bottom w:val="single" w:sz="4" w:space="0" w:color="000000"/>
            </w:tcBorders>
          </w:tcPr>
          <w:p>
            <w:pPr>
              <w:pStyle w:val="Style16"/>
              <w:tabs>
                <w:tab w:val="clear" w:pos="709"/>
              </w:tabs>
              <w:rPr>
                <w:rFonts w:ascii="XO Thames" w:hAnsi="XO Thames"/>
                <w:sz w:val="28"/>
                <w:szCs w:val="28"/>
              </w:rPr>
            </w:pPr>
            <w:r>
              <w:rPr>
                <w:rFonts w:ascii="XO Thames" w:hAnsi="XO Thames"/>
                <w:sz w:val="28"/>
                <w:szCs w:val="28"/>
              </w:rPr>
            </w:r>
          </w:p>
        </w:tc>
      </w:tr>
      <w:tr>
        <w:trPr/>
        <w:tc>
          <w:tcPr>
            <w:tcW w:w="3456"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(должность)</w:t>
            </w:r>
          </w:p>
        </w:tc>
        <w:tc>
          <w:tcPr>
            <w:tcW w:w="371" w:type="dxa"/>
            <w:tcBorders/>
          </w:tcPr>
          <w:p>
            <w:pPr>
              <w:pStyle w:val="Style16"/>
              <w:tabs>
                <w:tab w:val="clear" w:pos="709"/>
              </w:tabs>
              <w:rPr>
                <w:rFonts w:ascii="XO Thames" w:hAnsi="XO Thames"/>
                <w:sz w:val="28"/>
                <w:szCs w:val="28"/>
              </w:rPr>
            </w:pPr>
            <w:r>
              <w:rPr>
                <w:rFonts w:ascii="XO Thames" w:hAnsi="XO Thames"/>
                <w:sz w:val="28"/>
                <w:szCs w:val="28"/>
              </w:rPr>
            </w:r>
          </w:p>
        </w:tc>
        <w:tc>
          <w:tcPr>
            <w:tcW w:w="2318"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(подпись)</w:t>
            </w:r>
          </w:p>
        </w:tc>
        <w:tc>
          <w:tcPr>
            <w:tcW w:w="340" w:type="dxa"/>
            <w:tcBorders/>
          </w:tcPr>
          <w:p>
            <w:pPr>
              <w:pStyle w:val="Style16"/>
              <w:tabs>
                <w:tab w:val="clear" w:pos="709"/>
              </w:tabs>
              <w:rPr>
                <w:rFonts w:ascii="XO Thames" w:hAnsi="XO Thames"/>
                <w:sz w:val="28"/>
                <w:szCs w:val="28"/>
              </w:rPr>
            </w:pPr>
            <w:r>
              <w:rPr>
                <w:rFonts w:ascii="XO Thames" w:hAnsi="XO Thames"/>
                <w:sz w:val="28"/>
                <w:szCs w:val="28"/>
              </w:rPr>
            </w:r>
          </w:p>
        </w:tc>
        <w:tc>
          <w:tcPr>
            <w:tcW w:w="3423" w:type="dxa"/>
            <w:tcBorders>
              <w:top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(расшифровка подписи)</w:t>
            </w:r>
          </w:p>
        </w:tc>
      </w:tr>
    </w:tbl>
    <w:p>
      <w:pPr>
        <w:pStyle w:val="Normal"/>
        <w:rPr>
          <w:rFonts w:ascii="XO Thames" w:hAnsi="XO Thames"/>
          <w:sz w:val="28"/>
          <w:szCs w:val="28"/>
        </w:rPr>
      </w:pPr>
      <w:r>
        <w:rPr>
          <w:rFonts w:ascii="XO Thames" w:hAnsi="XO Thames"/>
          <w:sz w:val="28"/>
          <w:szCs w:val="28"/>
        </w:rPr>
      </w:r>
    </w:p>
    <w:p>
      <w:pPr>
        <w:pStyle w:val="Style17"/>
        <w:rPr>
          <w:rFonts w:ascii="XO Thames" w:hAnsi="XO Thames"/>
          <w:sz w:val="28"/>
          <w:szCs w:val="28"/>
        </w:rPr>
      </w:pPr>
      <w:r>
        <w:rPr>
          <w:rFonts w:ascii="XO Thames" w:hAnsi="XO Thames"/>
          <w:sz w:val="28"/>
          <w:szCs w:val="28"/>
        </w:rPr>
        <w:t>"__" ____________ 20__ г.</w:t>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pStyle w:val="Normal"/>
        <w:jc w:val="end"/>
        <w:rPr>
          <w:rFonts w:ascii="XO Thames" w:hAnsi="XO Thames"/>
          <w:b/>
          <w:color w:val="26282F"/>
          <w:sz w:val="28"/>
          <w:szCs w:val="28"/>
        </w:rPr>
      </w:pPr>
      <w:r>
        <w:rPr>
          <w:rFonts w:ascii="XO Thames" w:hAnsi="XO Thames"/>
          <w:b/>
          <w:color w:val="26282F"/>
          <w:sz w:val="28"/>
          <w:szCs w:val="28"/>
        </w:rPr>
      </w:r>
    </w:p>
    <w:p>
      <w:pPr>
        <w:sectPr>
          <w:headerReference w:type="even" r:id="rId11"/>
          <w:headerReference w:type="default" r:id="rId12"/>
          <w:headerReference w:type="first" r:id="rId13"/>
          <w:footerReference w:type="even" r:id="rId14"/>
          <w:footerReference w:type="default" r:id="rId15"/>
          <w:footerReference w:type="first" r:id="rId16"/>
          <w:type w:val="nextPage"/>
          <w:pgSz w:w="11906" w:h="16838"/>
          <w:pgMar w:left="1134" w:right="567" w:gutter="0" w:header="0" w:top="567" w:footer="567" w:bottom="1134"/>
          <w:pgNumType w:fmt="decimal"/>
          <w:formProt w:val="false"/>
          <w:titlePg/>
          <w:textDirection w:val="lrTb"/>
          <w:docGrid w:type="default" w:linePitch="600" w:charSpace="24576"/>
        </w:sectPr>
        <w:pStyle w:val="Normal"/>
        <w:jc w:val="end"/>
        <w:rPr>
          <w:rFonts w:ascii="XO Thames" w:hAnsi="XO Thames"/>
          <w:b/>
          <w:color w:val="26282F"/>
          <w:sz w:val="28"/>
          <w:szCs w:val="28"/>
        </w:rPr>
      </w:pPr>
      <w:r>
        <w:rPr/>
      </w:r>
    </w:p>
    <w:p>
      <w:pPr>
        <w:pStyle w:val="BodyText"/>
        <w:rPr/>
      </w:pPr>
      <w:r>
        <w:rPr/>
      </w:r>
    </w:p>
    <w:p>
      <w:pPr>
        <w:pStyle w:val="BodyText"/>
        <w:rPr/>
      </w:pPr>
      <w:r>
        <w:rPr/>
      </w:r>
    </w:p>
    <w:p>
      <w:pPr>
        <w:pStyle w:val="Normal"/>
        <w:jc w:val="end"/>
        <w:rPr/>
      </w:pPr>
      <w:bookmarkStart w:id="280" w:name="sub_5000_Копия_2"/>
      <w:bookmarkEnd w:id="280"/>
      <w:r>
        <w:rPr>
          <w:rFonts w:ascii="XO Thames" w:hAnsi="XO Thames"/>
          <w:b/>
          <w:color w:val="26282F"/>
          <w:sz w:val="28"/>
          <w:szCs w:val="28"/>
        </w:rPr>
        <w:t>Приложение 5</w:t>
        <w:br/>
        <w:t xml:space="preserve">к </w:t>
      </w:r>
      <w:hyperlink w:anchor="sub_10000">
        <w:r>
          <w:rPr>
            <w:rStyle w:val="Style"/>
            <w:rFonts w:ascii="XO Thames" w:hAnsi="XO Thames"/>
            <w:b w:val="false"/>
            <w:color w:val="106BBE"/>
            <w:sz w:val="28"/>
            <w:szCs w:val="28"/>
          </w:rPr>
          <w:t>Порядку</w:t>
        </w:r>
      </w:hyperlink>
      <w:r>
        <w:rPr>
          <w:rFonts w:ascii="XO Thames" w:hAnsi="XO Thames"/>
          <w:b/>
          <w:color w:val="26282F"/>
          <w:sz w:val="28"/>
          <w:szCs w:val="28"/>
        </w:rPr>
        <w:t xml:space="preserve"> осуществления</w:t>
        <w:br/>
        <w:t xml:space="preserve">Департаментом труда и социальной </w:t>
      </w:r>
    </w:p>
    <w:p>
      <w:pPr>
        <w:pStyle w:val="Normal"/>
        <w:jc w:val="end"/>
        <w:rPr>
          <w:rFonts w:ascii="XO Thames" w:hAnsi="XO Thames"/>
          <w:b/>
          <w:color w:val="26282F"/>
          <w:sz w:val="28"/>
          <w:szCs w:val="28"/>
        </w:rPr>
      </w:pPr>
      <w:r>
        <w:rPr>
          <w:rFonts w:ascii="XO Thames" w:hAnsi="XO Thames"/>
          <w:b/>
          <w:color w:val="26282F"/>
          <w:sz w:val="28"/>
          <w:szCs w:val="28"/>
        </w:rPr>
        <w:t>защиты населения Ненецкого</w:t>
        <w:br/>
        <w:t>автономного округа внутреннего</w:t>
        <w:br/>
        <w:t>финансового аудита</w:t>
      </w:r>
    </w:p>
    <w:p>
      <w:pPr>
        <w:pStyle w:val="Normal"/>
        <w:rPr>
          <w:rFonts w:ascii="XO Thames" w:hAnsi="XO Thames"/>
          <w:sz w:val="28"/>
          <w:szCs w:val="28"/>
        </w:rPr>
      </w:pPr>
      <w:r>
        <w:rPr>
          <w:rFonts w:ascii="XO Thames" w:hAnsi="XO Thames"/>
          <w:sz w:val="28"/>
          <w:szCs w:val="28"/>
        </w:rPr>
      </w:r>
      <w:bookmarkStart w:id="281" w:name="sub_5000_Копия_1_Копия_1"/>
      <w:bookmarkStart w:id="282" w:name="sub_5000_Копия_1_Копия_1"/>
      <w:bookmarkEnd w:id="282"/>
    </w:p>
    <w:p>
      <w:pPr>
        <w:pStyle w:val="Heading1"/>
        <w:spacing w:before="0" w:after="0"/>
        <w:ind w:hanging="0" w:start="0"/>
        <w:rPr>
          <w:rFonts w:ascii="XO Thames" w:hAnsi="XO Thames"/>
          <w:sz w:val="28"/>
          <w:szCs w:val="28"/>
        </w:rPr>
      </w:pPr>
      <w:r>
        <w:rPr>
          <w:rFonts w:ascii="XO Thames" w:hAnsi="XO Thames"/>
          <w:sz w:val="28"/>
          <w:szCs w:val="28"/>
        </w:rPr>
        <w:t>Реестр</w:t>
        <w:br/>
        <w:t>бюджетных рисков на 20__ г.</w:t>
        <w:br/>
        <w:t>по состоянию на "__" __________ 20__ г.</w:t>
        <w:br/>
        <w:t>__________________________________________</w:t>
        <w:br/>
        <w:t>(наименование бюджетной процедуры)</w:t>
      </w:r>
    </w:p>
    <w:p>
      <w:pPr>
        <w:pStyle w:val="BodyText"/>
        <w:rPr/>
      </w:pPr>
      <w:r>
        <w:rPr/>
      </w:r>
    </w:p>
    <w:tbl>
      <w:tblPr>
        <w:tblW w:w="14140" w:type="dxa"/>
        <w:jc w:val="start"/>
        <w:tblInd w:w="0" w:type="dxa"/>
        <w:tblLayout w:type="fixed"/>
        <w:tblCellMar>
          <w:top w:w="0" w:type="dxa"/>
          <w:start w:w="108" w:type="dxa"/>
          <w:bottom w:w="0" w:type="dxa"/>
          <w:end w:w="108" w:type="dxa"/>
        </w:tblCellMar>
      </w:tblPr>
      <w:tblGrid>
        <w:gridCol w:w="558"/>
        <w:gridCol w:w="1961"/>
        <w:gridCol w:w="1400"/>
        <w:gridCol w:w="1540"/>
        <w:gridCol w:w="1120"/>
        <w:gridCol w:w="1401"/>
        <w:gridCol w:w="1401"/>
        <w:gridCol w:w="1400"/>
        <w:gridCol w:w="1540"/>
        <w:gridCol w:w="1817"/>
      </w:tblGrid>
      <w:tr>
        <w:trPr/>
        <w:tc>
          <w:tcPr>
            <w:tcW w:w="558"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N п/п</w:t>
            </w:r>
          </w:p>
        </w:tc>
        <w:tc>
          <w:tcPr>
            <w:tcW w:w="196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Наименование операций (действий) по выполнению бюджетной процедуры, являющейся объектом бюджетного риска</w:t>
            </w:r>
          </w:p>
        </w:tc>
        <w:tc>
          <w:tcPr>
            <w:tcW w:w="140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Описание бюджетного риска</w:t>
            </w:r>
          </w:p>
        </w:tc>
        <w:tc>
          <w:tcPr>
            <w:tcW w:w="154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Наименование владельца бюджетного риска</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Оценка значимости (уровня) бюджетного риска</w:t>
            </w:r>
          </w:p>
        </w:tc>
        <w:tc>
          <w:tcPr>
            <w:tcW w:w="140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Оценка вероятности бюджетного риска</w:t>
            </w:r>
          </w:p>
        </w:tc>
        <w:tc>
          <w:tcPr>
            <w:tcW w:w="140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Оценка степени влияния бюджетного риска</w:t>
            </w:r>
          </w:p>
        </w:tc>
        <w:tc>
          <w:tcPr>
            <w:tcW w:w="140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Описание последствий бюджетного риска</w:t>
            </w:r>
          </w:p>
        </w:tc>
        <w:tc>
          <w:tcPr>
            <w:tcW w:w="154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Описание причин бюджетного риска</w:t>
            </w:r>
          </w:p>
        </w:tc>
        <w:tc>
          <w:tcPr>
            <w:tcW w:w="1817"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Меры по предупреждению и (или) минимизации (устранению) бюджетного риска</w:t>
            </w:r>
          </w:p>
        </w:tc>
      </w:tr>
      <w:tr>
        <w:trPr/>
        <w:tc>
          <w:tcPr>
            <w:tcW w:w="558"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1</w:t>
            </w:r>
          </w:p>
        </w:tc>
        <w:tc>
          <w:tcPr>
            <w:tcW w:w="196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2</w:t>
            </w:r>
          </w:p>
        </w:tc>
        <w:tc>
          <w:tcPr>
            <w:tcW w:w="140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3</w:t>
            </w:r>
          </w:p>
        </w:tc>
        <w:tc>
          <w:tcPr>
            <w:tcW w:w="154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4</w:t>
            </w:r>
          </w:p>
        </w:tc>
        <w:tc>
          <w:tcPr>
            <w:tcW w:w="112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5</w:t>
            </w:r>
          </w:p>
        </w:tc>
        <w:tc>
          <w:tcPr>
            <w:tcW w:w="140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6</w:t>
            </w:r>
          </w:p>
        </w:tc>
        <w:tc>
          <w:tcPr>
            <w:tcW w:w="1401"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7</w:t>
            </w:r>
          </w:p>
        </w:tc>
        <w:tc>
          <w:tcPr>
            <w:tcW w:w="140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8</w:t>
            </w:r>
          </w:p>
        </w:tc>
        <w:tc>
          <w:tcPr>
            <w:tcW w:w="1540"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9</w:t>
            </w:r>
          </w:p>
        </w:tc>
        <w:tc>
          <w:tcPr>
            <w:tcW w:w="1817" w:type="dxa"/>
            <w:tcBorders>
              <w:top w:val="single" w:sz="4" w:space="0" w:color="000000"/>
              <w:start w:val="single" w:sz="4" w:space="0" w:color="000000"/>
              <w:bottom w:val="single" w:sz="4" w:space="0" w:color="000000"/>
              <w:end w:val="single" w:sz="4" w:space="0" w:color="000000"/>
            </w:tcBorders>
          </w:tcPr>
          <w:p>
            <w:pPr>
              <w:pStyle w:val="Style16"/>
              <w:tabs>
                <w:tab w:val="clear" w:pos="709"/>
              </w:tabs>
              <w:jc w:val="center"/>
              <w:rPr>
                <w:rFonts w:ascii="XO Thames" w:hAnsi="XO Thames"/>
                <w:sz w:val="28"/>
                <w:szCs w:val="28"/>
              </w:rPr>
            </w:pPr>
            <w:r>
              <w:rPr>
                <w:rFonts w:ascii="XO Thames" w:hAnsi="XO Thames"/>
                <w:sz w:val="28"/>
                <w:szCs w:val="28"/>
              </w:rPr>
              <w:t>10</w:t>
            </w:r>
          </w:p>
        </w:tc>
      </w:tr>
    </w:tbl>
    <w:p>
      <w:pPr>
        <w:pStyle w:val="Normal"/>
        <w:rPr>
          <w:rFonts w:ascii="XO Thames" w:hAnsi="XO Thames"/>
          <w:sz w:val="28"/>
          <w:szCs w:val="28"/>
        </w:rPr>
      </w:pPr>
      <w:r>
        <w:rPr>
          <w:rFonts w:ascii="XO Thames" w:hAnsi="XO Thames"/>
          <w:sz w:val="28"/>
          <w:szCs w:val="28"/>
        </w:rPr>
      </w:r>
    </w:p>
    <w:sectPr>
      <w:headerReference w:type="even" r:id="rId17"/>
      <w:headerReference w:type="default" r:id="rId18"/>
      <w:headerReference w:type="first" r:id="rId19"/>
      <w:footerReference w:type="even" r:id="rId20"/>
      <w:footerReference w:type="default" r:id="rId21"/>
      <w:footerReference w:type="first" r:id="rId22"/>
      <w:type w:val="nextPage"/>
      <w:pgSz w:orient="landscape" w:w="16838" w:h="11906"/>
      <w:pgMar w:left="800" w:right="800" w:gutter="0" w:header="72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CYR">
    <w:charset w:val="01"/>
    <w:family w:val="roman"/>
    <w:pitch w:val="default"/>
  </w:font>
  <w:font w:name="Times New Roman">
    <w:charset w:val="01"/>
    <w:family w:val="roman"/>
    <w:pitch w:val="default"/>
  </w:font>
  <w:font w:name="Arial">
    <w:charset w:val="01"/>
    <w:family w:val="swiss"/>
    <w:pitch w:val="default"/>
  </w:font>
  <w:font w:name="Courier New">
    <w:charset w:val="01"/>
    <w:family w:val="roman"/>
    <w:pitch w:val="default"/>
  </w:font>
  <w:font w:name="XO Thames">
    <w:charset w:val="01"/>
    <w:family w:val="roman"/>
    <w:pitch w:val="default"/>
  </w:font>
  <w:font w:name="XO Thames">
    <w:charset w:val="01"/>
    <w:family w:val="auto"/>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ind w:hanging="0"/>
      <w:jc w:val="start"/>
      <w:rPr>
        <w:rFonts w:ascii="Arial" w:hAnsi="Arial"/>
      </w:rPr>
    </w:pPr>
    <w:r>
      <w:rPr>
        <w:rFonts w:ascii="Arial" w:hAnsi="Arial"/>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ind w:hanging="0"/>
      <w:jc w:val="start"/>
      <w:rPr>
        <w:rFonts w:ascii="Arial" w:hAnsi="Arial"/>
      </w:rPr>
    </w:pPr>
    <w:r>
      <w:rPr>
        <w:rFonts w:ascii="Arial" w:hAnsi="Arial"/>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start="0"/>
      <w:jc w:val="star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start="0"/>
      <w:jc w:val="star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0" w:firstLine="709"/>
      </w:pPr>
      <w:rPr/>
    </w:lvl>
    <w:lvl w:ilvl="2">
      <w:start w:val="1"/>
      <w:numFmt w:val="decimal"/>
      <w:suff w:val="space"/>
      <w:lvlText w:val="%1.%2.%3."/>
      <w:lvlJc w:val="start"/>
      <w:pPr>
        <w:tabs>
          <w:tab w:val="num" w:pos="0"/>
        </w:tabs>
        <w:ind w:start="0" w:firstLine="709"/>
      </w:pPr>
      <w:rPr/>
    </w:lvl>
    <w:lvl w:ilvl="3">
      <w:start w:val="1"/>
      <w:numFmt w:val="decimal"/>
      <w:suff w:val="space"/>
      <w:lvlText w:val="%1.%2.%3.%4."/>
      <w:lvlJc w:val="start"/>
      <w:pPr>
        <w:tabs>
          <w:tab w:val="num" w:pos="0"/>
        </w:tabs>
        <w:ind w:start="0" w:firstLine="709"/>
      </w:pPr>
      <w:rPr/>
    </w:lvl>
    <w:lvl w:ilvl="4">
      <w:start w:val="1"/>
      <w:numFmt w:val="decimal"/>
      <w:suff w:val="space"/>
      <w:lvlText w:val="%1.%2.%3.%4.%5."/>
      <w:lvlJc w:val="start"/>
      <w:pPr>
        <w:tabs>
          <w:tab w:val="num" w:pos="0"/>
        </w:tabs>
        <w:ind w:start="0" w:firstLine="709"/>
      </w:pPr>
      <w:rPr/>
    </w:lvl>
    <w:lvl w:ilvl="5">
      <w:start w:val="1"/>
      <w:numFmt w:val="decimal"/>
      <w:suff w:val="space"/>
      <w:lvlText w:val="%1.%2.%3.%4.%5.%6."/>
      <w:lvlJc w:val="start"/>
      <w:pPr>
        <w:tabs>
          <w:tab w:val="num" w:pos="0"/>
        </w:tabs>
        <w:ind w:start="0" w:firstLine="709"/>
      </w:pPr>
      <w:rPr/>
    </w:lvl>
    <w:lvl w:ilvl="6">
      <w:start w:val="1"/>
      <w:numFmt w:val="decimal"/>
      <w:suff w:val="space"/>
      <w:lvlText w:val="%1.%2.%3.%4.%5.%6.%7."/>
      <w:lvlJc w:val="start"/>
      <w:pPr>
        <w:tabs>
          <w:tab w:val="num" w:pos="0"/>
        </w:tabs>
        <w:ind w:start="0" w:firstLine="709"/>
      </w:pPr>
      <w:rPr/>
    </w:lvl>
    <w:lvl w:ilvl="7">
      <w:start w:val="1"/>
      <w:numFmt w:val="decimal"/>
      <w:suff w:val="space"/>
      <w:lvlText w:val="%1.%2.%3.%4.%5.%6.%7.%8."/>
      <w:lvlJc w:val="start"/>
      <w:pPr>
        <w:tabs>
          <w:tab w:val="num" w:pos="0"/>
        </w:tabs>
        <w:ind w:start="0" w:firstLine="709"/>
      </w:pPr>
      <w:rPr/>
    </w:lvl>
    <w:lvl w:ilvl="8">
      <w:start w:val="1"/>
      <w:numFmt w:val="decimal"/>
      <w:suff w:val="space"/>
      <w:lvlText w:val="%1.%2.%3.%4.%5.%6.%7.%8.%9."/>
      <w:lvlJc w:val="start"/>
      <w:pPr>
        <w:tabs>
          <w:tab w:val="num" w:pos="0"/>
        </w:tabs>
        <w:ind w:start="0" w:firstLine="709"/>
      </w:pPr>
      <w:rPr/>
    </w:lvl>
  </w:abstractNum>
  <w:abstractNum w:abstractNumId="2">
    <w:lvl w:ilvl="0">
      <w:start w:val="1"/>
      <w:numFmt w:val="bullet"/>
      <w:suff w:val="space"/>
      <w:lvlText w:val="–"/>
      <w:lvlJc w:val="start"/>
      <w:pPr>
        <w:tabs>
          <w:tab w:val="num" w:pos="0"/>
        </w:tabs>
        <w:ind w:start="0" w:firstLine="709"/>
      </w:pPr>
      <w:rPr>
        <w:rFonts w:ascii="PT Astra Serif" w:hAnsi="PT Astra Serif" w:cs="PT Astra Serif" w:hint="default"/>
      </w:rPr>
    </w:lvl>
    <w:lvl w:ilvl="1">
      <w:start w:val="1"/>
      <w:numFmt w:val="bullet"/>
      <w:suff w:val="space"/>
      <w:lvlText w:val="–"/>
      <w:lvlJc w:val="start"/>
      <w:pPr>
        <w:tabs>
          <w:tab w:val="num" w:pos="0"/>
        </w:tabs>
        <w:ind w:start="0" w:firstLine="709"/>
      </w:pPr>
      <w:rPr>
        <w:rFonts w:ascii="PT Astra Serif" w:hAnsi="PT Astra Serif" w:cs="PT Astra Serif" w:hint="default"/>
      </w:rPr>
    </w:lvl>
    <w:lvl w:ilvl="2">
      <w:start w:val="1"/>
      <w:numFmt w:val="bullet"/>
      <w:suff w:val="space"/>
      <w:lvlText w:val="–"/>
      <w:lvlJc w:val="start"/>
      <w:pPr>
        <w:tabs>
          <w:tab w:val="num" w:pos="0"/>
        </w:tabs>
        <w:ind w:start="0" w:firstLine="709"/>
      </w:pPr>
      <w:rPr>
        <w:rFonts w:ascii="PT Astra Serif" w:hAnsi="PT Astra Serif" w:cs="PT Astra Serif" w:hint="default"/>
      </w:rPr>
    </w:lvl>
    <w:lvl w:ilvl="3">
      <w:start w:val="1"/>
      <w:numFmt w:val="bullet"/>
      <w:suff w:val="space"/>
      <w:lvlText w:val="–"/>
      <w:lvlJc w:val="start"/>
      <w:pPr>
        <w:tabs>
          <w:tab w:val="num" w:pos="0"/>
        </w:tabs>
        <w:ind w:start="0" w:firstLine="709"/>
      </w:pPr>
      <w:rPr>
        <w:rFonts w:ascii="PT Astra Serif" w:hAnsi="PT Astra Serif" w:cs="PT Astra Serif" w:hint="default"/>
      </w:rPr>
    </w:lvl>
    <w:lvl w:ilvl="4">
      <w:start w:val="1"/>
      <w:numFmt w:val="bullet"/>
      <w:suff w:val="space"/>
      <w:lvlText w:val="–"/>
      <w:lvlJc w:val="start"/>
      <w:pPr>
        <w:tabs>
          <w:tab w:val="num" w:pos="0"/>
        </w:tabs>
        <w:ind w:start="0" w:firstLine="709"/>
      </w:pPr>
      <w:rPr>
        <w:rFonts w:ascii="PT Astra Serif" w:hAnsi="PT Astra Serif" w:cs="PT Astra Serif" w:hint="default"/>
      </w:rPr>
    </w:lvl>
    <w:lvl w:ilvl="5">
      <w:start w:val="1"/>
      <w:numFmt w:val="bullet"/>
      <w:suff w:val="space"/>
      <w:lvlText w:val="–"/>
      <w:lvlJc w:val="start"/>
      <w:pPr>
        <w:tabs>
          <w:tab w:val="num" w:pos="0"/>
        </w:tabs>
        <w:ind w:start="0" w:firstLine="709"/>
      </w:pPr>
      <w:rPr>
        <w:rFonts w:ascii="PT Astra Serif" w:hAnsi="PT Astra Serif" w:cs="PT Astra Serif" w:hint="default"/>
      </w:rPr>
    </w:lvl>
    <w:lvl w:ilvl="6">
      <w:start w:val="1"/>
      <w:numFmt w:val="bullet"/>
      <w:suff w:val="space"/>
      <w:lvlText w:val="–"/>
      <w:lvlJc w:val="start"/>
      <w:pPr>
        <w:tabs>
          <w:tab w:val="num" w:pos="0"/>
        </w:tabs>
        <w:ind w:start="0" w:firstLine="709"/>
      </w:pPr>
      <w:rPr>
        <w:rFonts w:ascii="PT Astra Serif" w:hAnsi="PT Astra Serif" w:cs="PT Astra Serif" w:hint="default"/>
      </w:rPr>
    </w:lvl>
    <w:lvl w:ilvl="7">
      <w:start w:val="1"/>
      <w:numFmt w:val="bullet"/>
      <w:suff w:val="space"/>
      <w:lvlText w:val="–"/>
      <w:lvlJc w:val="start"/>
      <w:pPr>
        <w:tabs>
          <w:tab w:val="num" w:pos="0"/>
        </w:tabs>
        <w:ind w:start="0" w:firstLine="709"/>
      </w:pPr>
      <w:rPr>
        <w:rFonts w:ascii="PT Astra Serif" w:hAnsi="PT Astra Serif" w:cs="PT Astra Serif" w:hint="default"/>
      </w:rPr>
    </w:lvl>
    <w:lvl w:ilvl="8">
      <w:start w:val="1"/>
      <w:numFmt w:val="bullet"/>
      <w:suff w:val="space"/>
      <w:lvlText w:val="–"/>
      <w:lvlJc w:val="start"/>
      <w:pPr>
        <w:tabs>
          <w:tab w:val="num" w:pos="0"/>
        </w:tabs>
        <w:ind w:start="0" w:firstLine="709"/>
      </w:pPr>
      <w:rPr>
        <w:rFonts w:ascii="PT Astra Serif" w:hAnsi="PT Astra Serif" w:cs="PT Astra Serif"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true"/>
      <w:overflowPunct w:val="fals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user18"/>
    <w:next w:val="BodyTextFirstIndent"/>
    <w:qFormat/>
    <w:pPr>
      <w:numPr>
        <w:ilvl w:val="0"/>
        <w:numId w:val="0"/>
      </w:numPr>
      <w:spacing w:before="0" w:after="0"/>
      <w:outlineLvl w:val="0"/>
    </w:pPr>
    <w:rPr/>
  </w:style>
  <w:style w:type="paragraph" w:styleId="Heading2">
    <w:name w:val="heading 2"/>
    <w:basedOn w:val="user18"/>
    <w:next w:val="BodyText"/>
    <w:qFormat/>
    <w:pPr>
      <w:numPr>
        <w:ilvl w:val="0"/>
        <w:numId w:val="0"/>
      </w:numPr>
      <w:spacing w:before="0" w:after="0"/>
      <w:outlineLvl w:val="1"/>
    </w:pPr>
    <w:rPr/>
  </w:style>
  <w:style w:type="paragraph" w:styleId="Heading3">
    <w:name w:val="heading 3"/>
    <w:basedOn w:val="user18"/>
    <w:next w:val="BodyText"/>
    <w:qFormat/>
    <w:pPr>
      <w:numPr>
        <w:ilvl w:val="0"/>
        <w:numId w:val="0"/>
      </w:numPr>
      <w:spacing w:before="0" w:after="0"/>
      <w:outlineLvl w:val="2"/>
    </w:pPr>
    <w:rPr/>
  </w:style>
  <w:style w:type="paragraph" w:styleId="Heading4">
    <w:name w:val="heading 4"/>
    <w:basedOn w:val="user18"/>
    <w:next w:val="BodyText"/>
    <w:qFormat/>
    <w:pPr>
      <w:numPr>
        <w:ilvl w:val="0"/>
        <w:numId w:val="0"/>
      </w:numPr>
      <w:spacing w:before="0" w:after="0"/>
    </w:pPr>
    <w:rPr/>
  </w:style>
  <w:style w:type="paragraph" w:styleId="Heading5">
    <w:name w:val="heading 5"/>
    <w:basedOn w:val="user18"/>
    <w:next w:val="BodyText"/>
    <w:qFormat/>
    <w:pPr>
      <w:numPr>
        <w:ilvl w:val="0"/>
        <w:numId w:val="0"/>
      </w:numPr>
      <w:spacing w:before="0" w:after="0"/>
    </w:pPr>
    <w:rPr/>
  </w:style>
  <w:style w:type="paragraph" w:styleId="Heading6">
    <w:name w:val="heading 6"/>
    <w:basedOn w:val="user18"/>
    <w:next w:val="BodyText"/>
    <w:qFormat/>
    <w:pPr>
      <w:numPr>
        <w:ilvl w:val="0"/>
        <w:numId w:val="0"/>
      </w:numPr>
    </w:pPr>
    <w:rPr/>
  </w:style>
  <w:style w:type="paragraph" w:styleId="Heading7">
    <w:name w:val="heading 7"/>
    <w:basedOn w:val="user18"/>
    <w:next w:val="BodyText"/>
    <w:qFormat/>
    <w:pPr>
      <w:numPr>
        <w:ilvl w:val="0"/>
        <w:numId w:val="0"/>
      </w:numPr>
      <w:spacing w:before="0" w:after="0"/>
    </w:pPr>
    <w:rPr/>
  </w:style>
  <w:style w:type="paragraph" w:styleId="Heading8">
    <w:name w:val="heading 8"/>
    <w:basedOn w:val="user18"/>
    <w:next w:val="BodyText"/>
    <w:qFormat/>
    <w:pPr>
      <w:numPr>
        <w:ilvl w:val="0"/>
        <w:numId w:val="0"/>
      </w:numPr>
      <w:spacing w:before="0" w:after="0"/>
    </w:pPr>
    <w:rPr/>
  </w:style>
  <w:style w:type="paragraph" w:styleId="Heading9">
    <w:name w:val="heading 9"/>
    <w:basedOn w:val="user18"/>
    <w:next w:val="BodyText"/>
    <w:qFormat/>
    <w:pPr>
      <w:numPr>
        <w:ilvl w:val="0"/>
        <w:numId w:val="0"/>
      </w:numPr>
      <w:spacing w:before="0" w:after="0"/>
    </w:pPr>
    <w:rPr/>
  </w:style>
  <w:style w:type="character" w:styleId="user">
    <w:name w:val="Символ нумерации (user)"/>
    <w:qFormat/>
    <w:rPr/>
  </w:style>
  <w:style w:type="character" w:styleId="user1">
    <w:name w:val="Маркеры (user)"/>
    <w:qFormat/>
    <w:rPr>
      <w:rFonts w:ascii="OpenSymbol" w:hAnsi="OpenSymbol" w:eastAsia="OpenSymbol" w:cs="OpenSymbol"/>
    </w:rPr>
  </w:style>
  <w:style w:type="character" w:styleId="user2">
    <w:name w:val="Символ сноски (user)"/>
    <w:qFormat/>
    <w:rPr>
      <w:vertAlign w:val="superscrip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PageNumber">
    <w:name w:val="page number"/>
    <w:rPr/>
  </w:style>
  <w:style w:type="character" w:styleId="user3">
    <w:name w:val="Символы названия (user)"/>
    <w:qFormat/>
    <w:rPr/>
  </w:style>
  <w:style w:type="character" w:styleId="user4">
    <w:name w:val="Буквица (user)"/>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user5">
    <w:name w:val="Заполнитель (user)"/>
    <w:qFormat/>
    <w:rPr>
      <w:smallCaps/>
      <w:color w:val="008080"/>
      <w:u w:val="dotted"/>
    </w:rPr>
  </w:style>
  <w:style w:type="character" w:styleId="user6">
    <w:name w:val="Ссылка указателя (user)"/>
    <w:qFormat/>
    <w:rPr/>
  </w:style>
  <w:style w:type="character" w:styleId="user7">
    <w:name w:val="Символ концевой сноски (user)"/>
    <w:qFormat/>
    <w:rPr>
      <w:vertAlign w:val="superscript"/>
    </w:rPr>
  </w:style>
  <w:style w:type="character" w:styleId="LineNumber">
    <w:name w:val="line number"/>
    <w:rPr/>
  </w:style>
  <w:style w:type="character" w:styleId="user8">
    <w:name w:val="Основной элемент указателя (user)"/>
    <w:qFormat/>
    <w:rPr>
      <w:b/>
      <w:bCs/>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user9">
    <w:name w:val="Фуригана (user)"/>
    <w:qFormat/>
    <w:rPr>
      <w:sz w:val="12"/>
      <w:szCs w:val="12"/>
      <w:u w:val="none"/>
      <w:em w:val="none"/>
    </w:rPr>
  </w:style>
  <w:style w:type="character" w:styleId="user10">
    <w:name w:val="Вертикальное направление символов (user)"/>
    <w:qFormat/>
    <w:rPr>
      <w:eastAsianLayout w:vert="true"/>
    </w:rPr>
  </w:style>
  <w:style w:type="character" w:styleId="Emphasis">
    <w:name w:val="Emphasis"/>
    <w:qFormat/>
    <w:rPr>
      <w:i/>
      <w:iCs/>
    </w:rPr>
  </w:style>
  <w:style w:type="character" w:styleId="user11">
    <w:name w:val="Цитата (user)"/>
    <w:qFormat/>
    <w:rPr>
      <w:i/>
      <w:iCs/>
    </w:rPr>
  </w:style>
  <w:style w:type="character" w:styleId="Strong">
    <w:name w:val="Strong"/>
    <w:qFormat/>
    <w:rPr>
      <w:b/>
      <w:bCs/>
    </w:rPr>
  </w:style>
  <w:style w:type="character" w:styleId="user12">
    <w:name w:val="Исходный текст (user)"/>
    <w:qFormat/>
    <w:rPr>
      <w:rFonts w:ascii="Liberation Mono" w:hAnsi="Liberation Mono" w:eastAsia="Liberation Mono" w:cs="Liberation Mono"/>
    </w:rPr>
  </w:style>
  <w:style w:type="character" w:styleId="user13">
    <w:name w:val="Пример (user)"/>
    <w:qFormat/>
    <w:rPr>
      <w:rFonts w:ascii="Liberation Mono" w:hAnsi="Liberation Mono" w:eastAsia="Liberation Mono" w:cs="Liberation Mono"/>
    </w:rPr>
  </w:style>
  <w:style w:type="character" w:styleId="user14">
    <w:name w:val="Ввод пользователя (user)"/>
    <w:qFormat/>
    <w:rPr>
      <w:rFonts w:ascii="Liberation Mono" w:hAnsi="Liberation Mono" w:eastAsia="Liberation Mono" w:cs="Liberation Mono"/>
    </w:rPr>
  </w:style>
  <w:style w:type="character" w:styleId="user15">
    <w:name w:val="Переменная (user)"/>
    <w:qFormat/>
    <w:rPr>
      <w:i/>
      <w:iCs/>
    </w:rPr>
  </w:style>
  <w:style w:type="character" w:styleId="user16">
    <w:name w:val="Определение (user)"/>
    <w:qFormat/>
    <w:rPr/>
  </w:style>
  <w:style w:type="character" w:styleId="user17">
    <w:name w:val="Непропорциональный текст (user)"/>
    <w:qFormat/>
    <w:rPr>
      <w:rFonts w:ascii="Liberation Mono" w:hAnsi="Liberation Mono" w:eastAsia="Liberation Mono" w:cs="Liberation Mono"/>
    </w:rPr>
  </w:style>
  <w:style w:type="character" w:styleId="Style7">
    <w:name w:val="Цветовое выделение для Текст"/>
    <w:qFormat/>
    <w:rPr>
      <w:rFonts w:ascii="Times New Roman CYR" w:hAnsi="Times New Roman CYR"/>
      <w:sz w:val="24"/>
    </w:rPr>
  </w:style>
  <w:style w:type="character" w:styleId="Style8">
    <w:name w:val="Цветовое выделение"/>
    <w:qFormat/>
    <w:rPr>
      <w:b/>
      <w:color w:val="26282F"/>
    </w:rPr>
  </w:style>
  <w:style w:type="character" w:styleId="Style9">
    <w:name w:val="Гипертекстовая ссылка"/>
    <w:basedOn w:val="Style8"/>
    <w:qFormat/>
    <w:rPr>
      <w:b w:val="false"/>
      <w:color w:val="106BBE"/>
    </w:rPr>
  </w:style>
  <w:style w:type="paragraph" w:styleId="Style1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11">
    <w:name w:val="Указатель"/>
    <w:basedOn w:val="Normal"/>
    <w:qFormat/>
    <w:pPr>
      <w:suppressLineNumbers/>
    </w:pPr>
    <w:rPr>
      <w:rFonts w:ascii="PT Astra Serif" w:hAnsi="PT Astra Serif" w:cs="FreeSans"/>
    </w:rPr>
  </w:style>
  <w:style w:type="paragraph" w:styleId="user18">
    <w:name w:val="Заголовок (user)"/>
    <w:basedOn w:val="Normal"/>
    <w:next w:val="BodyTextFirstIndent"/>
    <w:qFormat/>
    <w:pPr>
      <w:keepNext w:val="false"/>
      <w:spacing w:before="0" w:after="0"/>
      <w:jc w:val="center"/>
    </w:pPr>
    <w:rPr>
      <w:b/>
    </w:rPr>
  </w:style>
  <w:style w:type="paragraph" w:styleId="user19">
    <w:name w:val="Указатель (user)"/>
    <w:basedOn w:val="Normal"/>
    <w:qFormat/>
    <w:pPr>
      <w:jc w:val="start"/>
    </w:pPr>
    <w:rPr>
      <w:rFonts w:cs="Lohit Devanagari"/>
    </w:rPr>
  </w:style>
  <w:style w:type="paragraph" w:styleId="user20">
    <w:name w:val="Блочная цитата (user)"/>
    <w:basedOn w:val="Normal"/>
    <w:qFormat/>
    <w:pPr>
      <w:spacing w:before="0" w:after="0"/>
      <w:ind w:hanging="0" w:start="0" w:end="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start="709" w:end="0"/>
      <w:jc w:val="both"/>
    </w:pPr>
    <w:rPr>
      <w:b/>
    </w:rPr>
  </w:style>
  <w:style w:type="paragraph" w:styleId="BodyTextFirstIndent">
    <w:name w:val="Body Text First Indent"/>
    <w:basedOn w:val="Normal"/>
    <w:pPr>
      <w:ind w:firstLine="709" w:start="0" w:end="0"/>
      <w:jc w:val="both"/>
    </w:pPr>
    <w:rPr/>
  </w:style>
  <w:style w:type="paragraph" w:styleId="user21">
    <w:name w:val="Обратный отступ (user)"/>
    <w:basedOn w:val="BodyText"/>
    <w:qFormat/>
    <w:pPr>
      <w:tabs>
        <w:tab w:val="clear" w:pos="709"/>
        <w:tab w:val="left" w:pos="0" w:leader="none"/>
      </w:tabs>
      <w:ind w:hanging="0" w:start="0" w:end="0"/>
    </w:pPr>
    <w:rPr/>
  </w:style>
  <w:style w:type="paragraph" w:styleId="BodyTextIndent">
    <w:name w:val="Body Text Indent"/>
    <w:basedOn w:val="BodyText"/>
    <w:pPr>
      <w:ind w:hanging="0" w:start="0" w:end="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start="0" w:end="0"/>
      <w:jc w:val="start"/>
    </w:pPr>
    <w:rPr/>
  </w:style>
  <w:style w:type="paragraph" w:styleId="user22">
    <w:name w:val="Отступы (user)"/>
    <w:basedOn w:val="BodyText"/>
    <w:qFormat/>
    <w:pPr>
      <w:tabs>
        <w:tab w:val="clear" w:pos="709"/>
        <w:tab w:val="left" w:pos="0" w:leader="none"/>
      </w:tabs>
      <w:ind w:hanging="0" w:start="0" w:end="0"/>
    </w:pPr>
    <w:rPr/>
  </w:style>
  <w:style w:type="paragraph" w:styleId="CommentText">
    <w:name w:val="annotation text"/>
    <w:basedOn w:val="BodyText"/>
    <w:pPr>
      <w:ind w:hanging="0" w:start="0" w:end="0"/>
    </w:pPr>
    <w:rPr/>
  </w:style>
  <w:style w:type="paragraph" w:styleId="10user">
    <w:name w:val="Заголовок 10 (user)"/>
    <w:basedOn w:val="user18"/>
    <w:next w:val="BodyText"/>
    <w:qFormat/>
    <w:pPr>
      <w:numPr>
        <w:ilvl w:val="0"/>
        <w:numId w:val="0"/>
      </w:numPr>
      <w:spacing w:before="0" w:after="0"/>
    </w:pPr>
    <w:rPr/>
  </w:style>
  <w:style w:type="paragraph" w:styleId="1user">
    <w:name w:val="Нумерованный 1 начало (user)"/>
    <w:basedOn w:val="List"/>
    <w:next w:val="ListNumber"/>
    <w:qFormat/>
    <w:pPr>
      <w:spacing w:before="0" w:after="0"/>
      <w:ind w:hanging="0" w:start="0" w:end="0"/>
    </w:pPr>
    <w:rPr/>
  </w:style>
  <w:style w:type="paragraph" w:styleId="ListNumber">
    <w:name w:val="List Number"/>
    <w:basedOn w:val="List"/>
    <w:pPr>
      <w:numPr>
        <w:ilvl w:val="0"/>
        <w:numId w:val="1"/>
      </w:numPr>
      <w:spacing w:before="0" w:after="0"/>
    </w:pPr>
    <w:rPr/>
  </w:style>
  <w:style w:type="paragraph" w:styleId="1user1">
    <w:name w:val="Нумерованный 1 конец (user)"/>
    <w:basedOn w:val="List"/>
    <w:next w:val="ListNumber"/>
    <w:qFormat/>
    <w:pPr>
      <w:spacing w:before="0" w:after="0"/>
      <w:ind w:hanging="0" w:start="0" w:end="0"/>
    </w:pPr>
    <w:rPr/>
  </w:style>
  <w:style w:type="paragraph" w:styleId="1user2">
    <w:name w:val="Нумерованный 1 прод. (user)"/>
    <w:basedOn w:val="List"/>
    <w:qFormat/>
    <w:pPr>
      <w:spacing w:before="0" w:after="0"/>
      <w:ind w:hanging="0" w:start="0" w:end="0"/>
    </w:pPr>
    <w:rPr/>
  </w:style>
  <w:style w:type="paragraph" w:styleId="2user">
    <w:name w:val="Нумерованный 2 начало (user)"/>
    <w:basedOn w:val="List"/>
    <w:next w:val="ListNumber2"/>
    <w:qFormat/>
    <w:pPr>
      <w:spacing w:before="0" w:after="0"/>
      <w:ind w:hanging="0" w:start="0" w:end="0"/>
    </w:pPr>
    <w:rPr/>
  </w:style>
  <w:style w:type="paragraph" w:styleId="ListNumber2">
    <w:name w:val="List Number 2"/>
    <w:basedOn w:val="List"/>
    <w:pPr>
      <w:spacing w:before="0" w:after="0"/>
      <w:ind w:hanging="0" w:start="0" w:end="0"/>
    </w:pPr>
    <w:rPr/>
  </w:style>
  <w:style w:type="paragraph" w:styleId="2user1">
    <w:name w:val="Нумерованный 2 конец (user)"/>
    <w:basedOn w:val="List"/>
    <w:next w:val="ListNumber2"/>
    <w:qFormat/>
    <w:pPr>
      <w:spacing w:before="0" w:after="0"/>
      <w:ind w:hanging="0" w:start="0" w:end="0"/>
    </w:pPr>
    <w:rPr/>
  </w:style>
  <w:style w:type="paragraph" w:styleId="2user2">
    <w:name w:val="Нумерованный 2 прод. (user)"/>
    <w:basedOn w:val="List"/>
    <w:qFormat/>
    <w:pPr>
      <w:spacing w:before="0" w:after="0"/>
      <w:ind w:hanging="0" w:start="0" w:end="0"/>
    </w:pPr>
    <w:rPr/>
  </w:style>
  <w:style w:type="paragraph" w:styleId="3user">
    <w:name w:val="Нумерованный 3 начало (user)"/>
    <w:basedOn w:val="List"/>
    <w:next w:val="ListNumber3"/>
    <w:qFormat/>
    <w:pPr>
      <w:spacing w:before="0" w:after="0"/>
      <w:ind w:hanging="0" w:start="0" w:end="0"/>
    </w:pPr>
    <w:rPr/>
  </w:style>
  <w:style w:type="paragraph" w:styleId="ListNumber3">
    <w:name w:val="List Number 3"/>
    <w:basedOn w:val="List"/>
    <w:pPr>
      <w:spacing w:before="0" w:after="0"/>
      <w:ind w:hanging="0" w:start="0" w:end="0"/>
    </w:pPr>
    <w:rPr/>
  </w:style>
  <w:style w:type="paragraph" w:styleId="3user1">
    <w:name w:val="Нумерованный 3 конец (user)"/>
    <w:basedOn w:val="List"/>
    <w:next w:val="ListNumber3"/>
    <w:qFormat/>
    <w:pPr>
      <w:spacing w:before="0" w:after="0"/>
      <w:ind w:hanging="0" w:start="0" w:end="0"/>
    </w:pPr>
    <w:rPr/>
  </w:style>
  <w:style w:type="paragraph" w:styleId="3user2">
    <w:name w:val="Нумерованный 3 прод. (user)"/>
    <w:basedOn w:val="List"/>
    <w:qFormat/>
    <w:pPr>
      <w:spacing w:before="0" w:after="0"/>
      <w:ind w:hanging="0" w:start="0" w:end="0"/>
    </w:pPr>
    <w:rPr/>
  </w:style>
  <w:style w:type="paragraph" w:styleId="4user">
    <w:name w:val="Нумерованный 4 начало (user)"/>
    <w:basedOn w:val="List"/>
    <w:next w:val="ListNumber4"/>
    <w:qFormat/>
    <w:pPr>
      <w:spacing w:before="0" w:after="0"/>
      <w:ind w:hanging="0" w:start="0" w:end="0"/>
    </w:pPr>
    <w:rPr/>
  </w:style>
  <w:style w:type="paragraph" w:styleId="ListNumber4">
    <w:name w:val="List Number 4"/>
    <w:basedOn w:val="List"/>
    <w:pPr>
      <w:spacing w:before="0" w:after="0"/>
      <w:ind w:hanging="0" w:start="0" w:end="0"/>
    </w:pPr>
    <w:rPr/>
  </w:style>
  <w:style w:type="paragraph" w:styleId="4user1">
    <w:name w:val="Нумерованный 4 конец (user)"/>
    <w:basedOn w:val="List"/>
    <w:next w:val="ListNumber4"/>
    <w:qFormat/>
    <w:pPr>
      <w:spacing w:before="0" w:after="0"/>
      <w:ind w:hanging="0" w:start="0" w:end="0"/>
    </w:pPr>
    <w:rPr/>
  </w:style>
  <w:style w:type="paragraph" w:styleId="4user2">
    <w:name w:val="Нумерованный 4 прод. (user)"/>
    <w:basedOn w:val="List"/>
    <w:qFormat/>
    <w:pPr>
      <w:spacing w:before="0" w:after="0"/>
      <w:ind w:hanging="0" w:start="0" w:end="0"/>
    </w:pPr>
    <w:rPr/>
  </w:style>
  <w:style w:type="paragraph" w:styleId="5user">
    <w:name w:val="Нумерованный 5 начало (user)"/>
    <w:basedOn w:val="List"/>
    <w:next w:val="ListNumber5"/>
    <w:qFormat/>
    <w:pPr>
      <w:spacing w:before="0" w:after="0"/>
      <w:ind w:hanging="0" w:start="0" w:end="0"/>
    </w:pPr>
    <w:rPr/>
  </w:style>
  <w:style w:type="paragraph" w:styleId="ListNumber5">
    <w:name w:val="List Number 5"/>
    <w:basedOn w:val="List"/>
    <w:pPr>
      <w:spacing w:before="0" w:after="0"/>
      <w:ind w:hanging="0" w:start="0" w:end="0"/>
    </w:pPr>
    <w:rPr/>
  </w:style>
  <w:style w:type="paragraph" w:styleId="5user1">
    <w:name w:val="Нумерованный 5 конец (user)"/>
    <w:basedOn w:val="List"/>
    <w:next w:val="ListNumber5"/>
    <w:qFormat/>
    <w:pPr>
      <w:spacing w:before="0" w:after="0"/>
      <w:ind w:hanging="0" w:start="0" w:end="0"/>
    </w:pPr>
    <w:rPr/>
  </w:style>
  <w:style w:type="paragraph" w:styleId="5user2">
    <w:name w:val="Нумерованный 5 прод. (user)"/>
    <w:basedOn w:val="List"/>
    <w:qFormat/>
    <w:pPr>
      <w:spacing w:before="0" w:after="0"/>
      <w:ind w:hanging="0" w:start="0" w:end="0"/>
    </w:pPr>
    <w:rPr/>
  </w:style>
  <w:style w:type="paragraph" w:styleId="1user3">
    <w:name w:val="Список 1 начало (user)"/>
    <w:basedOn w:val="List"/>
    <w:next w:val="ListBullet"/>
    <w:qFormat/>
    <w:pPr>
      <w:spacing w:before="0" w:after="0"/>
      <w:ind w:hanging="0" w:start="0" w:end="0"/>
    </w:pPr>
    <w:rPr/>
  </w:style>
  <w:style w:type="paragraph" w:styleId="ListBullet">
    <w:name w:val="List Bullet"/>
    <w:basedOn w:val="List"/>
    <w:pPr>
      <w:numPr>
        <w:ilvl w:val="0"/>
        <w:numId w:val="2"/>
      </w:numPr>
      <w:spacing w:before="0" w:after="0"/>
    </w:pPr>
    <w:rPr/>
  </w:style>
  <w:style w:type="paragraph" w:styleId="1user4">
    <w:name w:val="Список 1 конец (user)"/>
    <w:basedOn w:val="List"/>
    <w:next w:val="ListBullet"/>
    <w:qFormat/>
    <w:pPr>
      <w:spacing w:before="0" w:after="0"/>
      <w:ind w:hanging="0" w:start="0" w:end="0"/>
    </w:pPr>
    <w:rPr/>
  </w:style>
  <w:style w:type="paragraph" w:styleId="ListContinue">
    <w:name w:val="List Continue"/>
    <w:basedOn w:val="List"/>
    <w:pPr>
      <w:spacing w:before="0" w:after="0"/>
      <w:ind w:hanging="0" w:start="0" w:end="0"/>
    </w:pPr>
    <w:rPr/>
  </w:style>
  <w:style w:type="paragraph" w:styleId="2user3">
    <w:name w:val="Список 2 начало (user)"/>
    <w:basedOn w:val="List"/>
    <w:next w:val="ListBullet2"/>
    <w:qFormat/>
    <w:pPr>
      <w:spacing w:before="0" w:after="0"/>
      <w:ind w:hanging="0" w:start="0" w:end="0"/>
    </w:pPr>
    <w:rPr/>
  </w:style>
  <w:style w:type="paragraph" w:styleId="ListBullet2">
    <w:name w:val="List Bullet 2"/>
    <w:basedOn w:val="List"/>
    <w:pPr>
      <w:spacing w:before="0" w:after="0"/>
      <w:ind w:hanging="0" w:start="0" w:end="0"/>
    </w:pPr>
    <w:rPr/>
  </w:style>
  <w:style w:type="paragraph" w:styleId="2user4">
    <w:name w:val="Список 2 конец (user)"/>
    <w:basedOn w:val="List"/>
    <w:next w:val="ListBullet2"/>
    <w:qFormat/>
    <w:pPr>
      <w:spacing w:before="0" w:after="0"/>
      <w:ind w:hanging="0" w:start="0" w:end="0"/>
    </w:pPr>
    <w:rPr/>
  </w:style>
  <w:style w:type="paragraph" w:styleId="ListContinue2">
    <w:name w:val="List Continue 2"/>
    <w:basedOn w:val="List"/>
    <w:pPr>
      <w:spacing w:before="0" w:after="0"/>
      <w:ind w:hanging="0" w:start="0" w:end="0"/>
    </w:pPr>
    <w:rPr/>
  </w:style>
  <w:style w:type="paragraph" w:styleId="3user3">
    <w:name w:val="Список 3 начало (user)"/>
    <w:basedOn w:val="List"/>
    <w:next w:val="ListBullet3"/>
    <w:qFormat/>
    <w:pPr>
      <w:spacing w:before="0" w:after="0"/>
      <w:ind w:hanging="0" w:start="0" w:end="0"/>
    </w:pPr>
    <w:rPr/>
  </w:style>
  <w:style w:type="paragraph" w:styleId="ListBullet3">
    <w:name w:val="List Bullet 3"/>
    <w:basedOn w:val="List"/>
    <w:pPr>
      <w:spacing w:before="0" w:after="0"/>
      <w:ind w:hanging="0" w:start="0" w:end="0"/>
    </w:pPr>
    <w:rPr/>
  </w:style>
  <w:style w:type="paragraph" w:styleId="3user4">
    <w:name w:val="Список 3 конец (user)"/>
    <w:basedOn w:val="List"/>
    <w:next w:val="ListBullet3"/>
    <w:qFormat/>
    <w:pPr>
      <w:spacing w:before="0" w:after="0"/>
      <w:ind w:hanging="0" w:start="0" w:end="0"/>
    </w:pPr>
    <w:rPr/>
  </w:style>
  <w:style w:type="paragraph" w:styleId="ListContinue3">
    <w:name w:val="List Continue 3"/>
    <w:basedOn w:val="List"/>
    <w:pPr>
      <w:spacing w:before="0" w:after="0"/>
      <w:ind w:hanging="0" w:start="0" w:end="0"/>
    </w:pPr>
    <w:rPr/>
  </w:style>
  <w:style w:type="paragraph" w:styleId="4user3">
    <w:name w:val="Список 4 начало (user)"/>
    <w:basedOn w:val="List"/>
    <w:next w:val="ListBullet4"/>
    <w:qFormat/>
    <w:pPr>
      <w:spacing w:before="0" w:after="0"/>
      <w:ind w:hanging="0" w:start="0" w:end="0"/>
    </w:pPr>
    <w:rPr/>
  </w:style>
  <w:style w:type="paragraph" w:styleId="ListBullet4">
    <w:name w:val="List Bullet 4"/>
    <w:basedOn w:val="List"/>
    <w:pPr>
      <w:spacing w:before="0" w:after="0"/>
      <w:ind w:hanging="0" w:start="0" w:end="0"/>
    </w:pPr>
    <w:rPr/>
  </w:style>
  <w:style w:type="paragraph" w:styleId="4user4">
    <w:name w:val="Список 4 конец (user)"/>
    <w:basedOn w:val="List"/>
    <w:next w:val="ListBullet4"/>
    <w:qFormat/>
    <w:pPr>
      <w:spacing w:before="0" w:after="0"/>
      <w:ind w:hanging="0" w:start="0" w:end="0"/>
    </w:pPr>
    <w:rPr/>
  </w:style>
  <w:style w:type="paragraph" w:styleId="ListContinue4">
    <w:name w:val="List Continue 4"/>
    <w:basedOn w:val="List"/>
    <w:pPr>
      <w:spacing w:before="0" w:after="0"/>
      <w:ind w:hanging="0" w:start="0" w:end="0"/>
    </w:pPr>
    <w:rPr/>
  </w:style>
  <w:style w:type="paragraph" w:styleId="5user3">
    <w:name w:val="Список 5 начало (user)"/>
    <w:basedOn w:val="List"/>
    <w:next w:val="ListBullet5"/>
    <w:qFormat/>
    <w:pPr>
      <w:spacing w:before="0" w:after="0"/>
      <w:ind w:hanging="0" w:start="0" w:end="0"/>
    </w:pPr>
    <w:rPr/>
  </w:style>
  <w:style w:type="paragraph" w:styleId="ListBullet5">
    <w:name w:val="List Bullet 5"/>
    <w:basedOn w:val="List"/>
    <w:pPr>
      <w:spacing w:before="0" w:after="0"/>
      <w:ind w:hanging="0" w:start="0" w:end="0"/>
    </w:pPr>
    <w:rPr/>
  </w:style>
  <w:style w:type="paragraph" w:styleId="5user4">
    <w:name w:val="Список 5 конец (user)"/>
    <w:basedOn w:val="List"/>
    <w:next w:val="ListBullet5"/>
    <w:qFormat/>
    <w:pPr>
      <w:spacing w:before="0" w:after="0"/>
      <w:ind w:hanging="0" w:start="0" w:end="0"/>
    </w:pPr>
    <w:rPr/>
  </w:style>
  <w:style w:type="paragraph" w:styleId="ListContinue5">
    <w:name w:val="List Continue 5"/>
    <w:basedOn w:val="List"/>
    <w:pPr>
      <w:spacing w:before="0" w:after="0"/>
      <w:ind w:hanging="0" w:start="0" w:end="0"/>
    </w:pPr>
    <w:rPr/>
  </w:style>
  <w:style w:type="paragraph" w:styleId="IndexHeading">
    <w:name w:val="index heading"/>
    <w:basedOn w:val="user18"/>
    <w:pPr>
      <w:ind w:hanging="0" w:start="0" w:end="0"/>
    </w:pPr>
    <w:rPr/>
  </w:style>
  <w:style w:type="paragraph" w:styleId="Index1">
    <w:name w:val="index 1"/>
    <w:basedOn w:val="user19"/>
    <w:pPr>
      <w:ind w:hanging="0" w:start="0" w:end="0"/>
    </w:pPr>
    <w:rPr/>
  </w:style>
  <w:style w:type="paragraph" w:styleId="Index2">
    <w:name w:val="index 2"/>
    <w:basedOn w:val="user19"/>
    <w:pPr>
      <w:ind w:hanging="0" w:start="0" w:end="0"/>
    </w:pPr>
    <w:rPr/>
  </w:style>
  <w:style w:type="paragraph" w:styleId="Index3">
    <w:name w:val="index 3"/>
    <w:basedOn w:val="user19"/>
    <w:pPr>
      <w:ind w:hanging="0" w:start="0" w:end="0"/>
    </w:pPr>
    <w:rPr/>
  </w:style>
  <w:style w:type="paragraph" w:styleId="user23">
    <w:name w:val="Разделитель предметного указателя (user)"/>
    <w:basedOn w:val="user19"/>
    <w:qFormat/>
    <w:pPr>
      <w:ind w:hanging="0" w:start="0" w:end="0"/>
    </w:pPr>
    <w:rPr/>
  </w:style>
  <w:style w:type="paragraph" w:styleId="TOCHeading">
    <w:name w:val="TOC Heading"/>
    <w:basedOn w:val="user18"/>
    <w:next w:val="TOC1"/>
    <w:qFormat/>
    <w:pPr>
      <w:ind w:hanging="0" w:start="0" w:end="0"/>
    </w:pPr>
    <w:rPr/>
  </w:style>
  <w:style w:type="paragraph" w:styleId="TOC1">
    <w:name w:val="toc 1"/>
    <w:basedOn w:val="user19"/>
    <w:pPr>
      <w:tabs>
        <w:tab w:val="clear" w:pos="709"/>
        <w:tab w:val="right" w:pos="9638" w:leader="dot"/>
      </w:tabs>
      <w:ind w:hanging="0" w:start="0" w:end="0"/>
    </w:pPr>
    <w:rPr/>
  </w:style>
  <w:style w:type="paragraph" w:styleId="TOC2">
    <w:name w:val="toc 2"/>
    <w:basedOn w:val="user19"/>
    <w:pPr>
      <w:tabs>
        <w:tab w:val="clear" w:pos="709"/>
        <w:tab w:val="right" w:pos="9355" w:leader="dot"/>
      </w:tabs>
      <w:ind w:hanging="0" w:start="0" w:end="0"/>
    </w:pPr>
    <w:rPr/>
  </w:style>
  <w:style w:type="paragraph" w:styleId="TOC3">
    <w:name w:val="toc 3"/>
    <w:basedOn w:val="user19"/>
    <w:pPr>
      <w:tabs>
        <w:tab w:val="clear" w:pos="709"/>
        <w:tab w:val="right" w:pos="9072" w:leader="dot"/>
      </w:tabs>
      <w:ind w:hanging="0" w:start="0" w:end="0"/>
    </w:pPr>
    <w:rPr/>
  </w:style>
  <w:style w:type="paragraph" w:styleId="TOC4">
    <w:name w:val="toc 4"/>
    <w:basedOn w:val="user19"/>
    <w:pPr>
      <w:tabs>
        <w:tab w:val="clear" w:pos="709"/>
        <w:tab w:val="right" w:pos="8789" w:leader="dot"/>
      </w:tabs>
      <w:ind w:hanging="0" w:start="0" w:end="0"/>
    </w:pPr>
    <w:rPr/>
  </w:style>
  <w:style w:type="paragraph" w:styleId="TOC5">
    <w:name w:val="toc 5"/>
    <w:basedOn w:val="user19"/>
    <w:pPr>
      <w:tabs>
        <w:tab w:val="clear" w:pos="709"/>
        <w:tab w:val="right" w:pos="8506" w:leader="dot"/>
      </w:tabs>
      <w:ind w:hanging="0" w:start="0" w:end="0"/>
    </w:pPr>
    <w:rPr/>
  </w:style>
  <w:style w:type="paragraph" w:styleId="user24">
    <w:name w:val="Заголовок указателей пользователя (user)"/>
    <w:basedOn w:val="user18"/>
    <w:qFormat/>
    <w:pPr/>
    <w:rPr/>
  </w:style>
  <w:style w:type="paragraph" w:styleId="1user5">
    <w:name w:val="Указатель пользователя 1 (user)"/>
    <w:basedOn w:val="user19"/>
    <w:qFormat/>
    <w:pPr>
      <w:tabs>
        <w:tab w:val="clear" w:pos="709"/>
        <w:tab w:val="right" w:pos="9638" w:leader="dot"/>
      </w:tabs>
      <w:ind w:hanging="0" w:start="0" w:end="0"/>
    </w:pPr>
    <w:rPr/>
  </w:style>
  <w:style w:type="paragraph" w:styleId="2user5">
    <w:name w:val="Указатель пользователя 2 (user)"/>
    <w:basedOn w:val="user19"/>
    <w:qFormat/>
    <w:pPr>
      <w:tabs>
        <w:tab w:val="clear" w:pos="709"/>
        <w:tab w:val="right" w:pos="9355" w:leader="dot"/>
      </w:tabs>
      <w:ind w:hanging="0" w:start="0" w:end="0"/>
    </w:pPr>
    <w:rPr/>
  </w:style>
  <w:style w:type="paragraph" w:styleId="3user5">
    <w:name w:val="Указатель пользователя 3 (user)"/>
    <w:basedOn w:val="user19"/>
    <w:qFormat/>
    <w:pPr>
      <w:tabs>
        <w:tab w:val="clear" w:pos="709"/>
        <w:tab w:val="right" w:pos="9072" w:leader="dot"/>
      </w:tabs>
      <w:ind w:hanging="0" w:start="0" w:end="0"/>
    </w:pPr>
    <w:rPr/>
  </w:style>
  <w:style w:type="paragraph" w:styleId="4user5">
    <w:name w:val="Указатель пользователя 4 (user)"/>
    <w:basedOn w:val="user19"/>
    <w:qFormat/>
    <w:pPr>
      <w:tabs>
        <w:tab w:val="clear" w:pos="709"/>
        <w:tab w:val="right" w:pos="8789" w:leader="dot"/>
      </w:tabs>
      <w:ind w:hanging="0" w:start="0" w:end="0"/>
    </w:pPr>
    <w:rPr/>
  </w:style>
  <w:style w:type="paragraph" w:styleId="5user5">
    <w:name w:val="Указатель пользователя 5 (user)"/>
    <w:basedOn w:val="user19"/>
    <w:qFormat/>
    <w:pPr>
      <w:tabs>
        <w:tab w:val="clear" w:pos="709"/>
        <w:tab w:val="right" w:pos="8506" w:leader="dot"/>
      </w:tabs>
      <w:ind w:hanging="0" w:start="0" w:end="0"/>
    </w:pPr>
    <w:rPr/>
  </w:style>
  <w:style w:type="paragraph" w:styleId="TOC6">
    <w:name w:val="toc 6"/>
    <w:basedOn w:val="user19"/>
    <w:pPr>
      <w:tabs>
        <w:tab w:val="clear" w:pos="709"/>
        <w:tab w:val="right" w:pos="8223" w:leader="dot"/>
      </w:tabs>
      <w:ind w:hanging="0" w:start="0" w:end="0"/>
    </w:pPr>
    <w:rPr/>
  </w:style>
  <w:style w:type="paragraph" w:styleId="TOC7">
    <w:name w:val="toc 7"/>
    <w:basedOn w:val="user19"/>
    <w:pPr>
      <w:tabs>
        <w:tab w:val="clear" w:pos="709"/>
        <w:tab w:val="right" w:pos="7940" w:leader="dot"/>
      </w:tabs>
      <w:ind w:hanging="0" w:start="0" w:end="0"/>
    </w:pPr>
    <w:rPr/>
  </w:style>
  <w:style w:type="paragraph" w:styleId="TOC8">
    <w:name w:val="toc 8"/>
    <w:basedOn w:val="user19"/>
    <w:pPr>
      <w:tabs>
        <w:tab w:val="clear" w:pos="709"/>
        <w:tab w:val="right" w:pos="7657" w:leader="dot"/>
      </w:tabs>
      <w:ind w:hanging="0" w:start="0" w:end="0"/>
    </w:pPr>
    <w:rPr/>
  </w:style>
  <w:style w:type="paragraph" w:styleId="TOC9">
    <w:name w:val="toc 9"/>
    <w:basedOn w:val="user19"/>
    <w:pPr>
      <w:tabs>
        <w:tab w:val="clear" w:pos="709"/>
        <w:tab w:val="right" w:pos="7374" w:leader="dot"/>
      </w:tabs>
      <w:ind w:hanging="0" w:start="0" w:end="0"/>
    </w:pPr>
    <w:rPr/>
  </w:style>
  <w:style w:type="paragraph" w:styleId="10user1">
    <w:name w:val="Оглавление 10 (user)"/>
    <w:basedOn w:val="user19"/>
    <w:qFormat/>
    <w:pPr>
      <w:tabs>
        <w:tab w:val="clear" w:pos="709"/>
        <w:tab w:val="right" w:pos="7091" w:leader="dot"/>
      </w:tabs>
      <w:ind w:hanging="0" w:start="0" w:end="0"/>
    </w:pPr>
    <w:rPr/>
  </w:style>
  <w:style w:type="paragraph" w:styleId="IllustrationIndex1">
    <w:name w:val="Illustration Index 1"/>
    <w:basedOn w:val="user19"/>
    <w:qFormat/>
    <w:pPr>
      <w:tabs>
        <w:tab w:val="clear" w:pos="709"/>
        <w:tab w:val="right" w:pos="9638" w:leader="dot"/>
      </w:tabs>
      <w:ind w:hanging="0" w:start="0" w:end="0"/>
    </w:pPr>
    <w:rPr/>
  </w:style>
  <w:style w:type="paragraph" w:styleId="user25">
    <w:name w:val="Заголовок списка объектов (user)"/>
    <w:basedOn w:val="user18"/>
    <w:qFormat/>
    <w:pPr>
      <w:ind w:hanging="0" w:start="0" w:end="0"/>
    </w:pPr>
    <w:rPr/>
  </w:style>
  <w:style w:type="paragraph" w:styleId="1user6">
    <w:name w:val="Список объектов 1 (user)"/>
    <w:basedOn w:val="user19"/>
    <w:qFormat/>
    <w:pPr>
      <w:tabs>
        <w:tab w:val="clear" w:pos="709"/>
        <w:tab w:val="right" w:pos="9638" w:leader="dot"/>
      </w:tabs>
      <w:ind w:hanging="0" w:start="0" w:end="0"/>
    </w:pPr>
    <w:rPr/>
  </w:style>
  <w:style w:type="paragraph" w:styleId="user26">
    <w:name w:val="Заголовок списка таблиц (user)"/>
    <w:basedOn w:val="user18"/>
    <w:qFormat/>
    <w:pPr>
      <w:ind w:hanging="0" w:start="0" w:end="0"/>
    </w:pPr>
    <w:rPr/>
  </w:style>
  <w:style w:type="paragraph" w:styleId="1user7">
    <w:name w:val="Список таблиц 1 (user)"/>
    <w:basedOn w:val="user19"/>
    <w:qFormat/>
    <w:pPr>
      <w:tabs>
        <w:tab w:val="clear" w:pos="709"/>
        <w:tab w:val="right" w:pos="9638" w:leader="dot"/>
      </w:tabs>
      <w:ind w:hanging="0" w:start="0" w:end="0"/>
    </w:pPr>
    <w:rPr/>
  </w:style>
  <w:style w:type="paragraph" w:styleId="TableofAuthorities">
    <w:name w:val="table of authorities"/>
    <w:basedOn w:val="user18"/>
    <w:pPr>
      <w:ind w:hanging="0" w:start="0" w:end="0"/>
    </w:pPr>
    <w:rPr/>
  </w:style>
  <w:style w:type="paragraph" w:styleId="1user8">
    <w:name w:val="Библиография 1 (user)"/>
    <w:basedOn w:val="user19"/>
    <w:qFormat/>
    <w:pPr>
      <w:tabs>
        <w:tab w:val="clear" w:pos="709"/>
        <w:tab w:val="right" w:pos="9638" w:leader="dot"/>
      </w:tabs>
      <w:ind w:hanging="0" w:start="0" w:end="0"/>
    </w:pPr>
    <w:rPr/>
  </w:style>
  <w:style w:type="paragraph" w:styleId="6user">
    <w:name w:val="Указатель пользователя 6 (user)"/>
    <w:basedOn w:val="user19"/>
    <w:qFormat/>
    <w:pPr>
      <w:tabs>
        <w:tab w:val="clear" w:pos="709"/>
        <w:tab w:val="right" w:pos="8223" w:leader="dot"/>
      </w:tabs>
      <w:ind w:hanging="0" w:start="0" w:end="0"/>
    </w:pPr>
    <w:rPr/>
  </w:style>
  <w:style w:type="paragraph" w:styleId="7user">
    <w:name w:val="Указатель пользователя 7 (user)"/>
    <w:basedOn w:val="user19"/>
    <w:qFormat/>
    <w:pPr>
      <w:tabs>
        <w:tab w:val="clear" w:pos="709"/>
        <w:tab w:val="right" w:pos="7940" w:leader="dot"/>
      </w:tabs>
      <w:ind w:hanging="0" w:start="0" w:end="0"/>
    </w:pPr>
    <w:rPr/>
  </w:style>
  <w:style w:type="paragraph" w:styleId="8user">
    <w:name w:val="Указатель пользователя 8 (user)"/>
    <w:basedOn w:val="user19"/>
    <w:qFormat/>
    <w:pPr>
      <w:tabs>
        <w:tab w:val="clear" w:pos="709"/>
        <w:tab w:val="right" w:pos="7657" w:leader="dot"/>
      </w:tabs>
      <w:ind w:hanging="0" w:start="0" w:end="0"/>
    </w:pPr>
    <w:rPr/>
  </w:style>
  <w:style w:type="paragraph" w:styleId="9user">
    <w:name w:val="Указатель пользователя 9 (user)"/>
    <w:basedOn w:val="user19"/>
    <w:qFormat/>
    <w:pPr>
      <w:tabs>
        <w:tab w:val="clear" w:pos="709"/>
        <w:tab w:val="right" w:pos="7374" w:leader="dot"/>
      </w:tabs>
      <w:ind w:hanging="0" w:start="0" w:end="0"/>
    </w:pPr>
    <w:rPr/>
  </w:style>
  <w:style w:type="paragraph" w:styleId="10user2">
    <w:name w:val="Указатель пользователя 10 (user)"/>
    <w:basedOn w:val="user19"/>
    <w:qFormat/>
    <w:pPr>
      <w:tabs>
        <w:tab w:val="clear" w:pos="709"/>
        <w:tab w:val="right" w:pos="7091" w:leader="dot"/>
      </w:tabs>
      <w:ind w:hanging="0" w:start="0" w:end="0"/>
    </w:pPr>
    <w:rPr/>
  </w:style>
  <w:style w:type="paragraph" w:styleId="user27">
    <w:name w:val="Колонтитулы (user)"/>
    <w:basedOn w:val="Normal"/>
    <w:qFormat/>
    <w:pPr>
      <w:suppressLineNumbers/>
      <w:tabs>
        <w:tab w:val="clear" w:pos="709"/>
        <w:tab w:val="center" w:pos="4819" w:leader="none"/>
        <w:tab w:val="right" w:pos="9638" w:leader="none"/>
      </w:tabs>
    </w:pPr>
    <w:rPr/>
  </w:style>
  <w:style w:type="paragraph" w:styleId="Style12">
    <w:name w:val="Колонтитулы"/>
    <w:basedOn w:val="Normal"/>
    <w:qFormat/>
    <w:pPr/>
    <w:rPr/>
  </w:style>
  <w:style w:type="paragraph" w:styleId="Header">
    <w:name w:val="header"/>
    <w:basedOn w:val="Normal"/>
    <w:pPr>
      <w:tabs>
        <w:tab w:val="clear" w:pos="709"/>
        <w:tab w:val="center" w:pos="4819" w:leader="none"/>
        <w:tab w:val="right" w:pos="9638" w:leader="none"/>
      </w:tabs>
      <w:jc w:val="center"/>
    </w:pPr>
    <w:rPr/>
  </w:style>
  <w:style w:type="paragraph" w:styleId="user28">
    <w:name w:val="Верхний колонтитул слева (user)"/>
    <w:basedOn w:val="Normal"/>
    <w:qFormat/>
    <w:pPr>
      <w:tabs>
        <w:tab w:val="clear" w:pos="709"/>
        <w:tab w:val="center" w:pos="4819" w:leader="none"/>
        <w:tab w:val="right" w:pos="9638" w:leader="none"/>
      </w:tabs>
      <w:jc w:val="start"/>
    </w:pPr>
    <w:rPr/>
  </w:style>
  <w:style w:type="paragraph" w:styleId="user29">
    <w:name w:val="Верхний колонтитул справа (user)"/>
    <w:basedOn w:val="Normal"/>
    <w:qFormat/>
    <w:pPr>
      <w:tabs>
        <w:tab w:val="clear" w:pos="709"/>
        <w:tab w:val="center" w:pos="4819" w:leader="none"/>
        <w:tab w:val="right" w:pos="9638" w:leader="none"/>
      </w:tabs>
      <w:jc w:val="end"/>
    </w:pPr>
    <w:rPr/>
  </w:style>
  <w:style w:type="paragraph" w:styleId="Footer">
    <w:name w:val="footer"/>
    <w:basedOn w:val="Normal"/>
    <w:pPr>
      <w:tabs>
        <w:tab w:val="clear" w:pos="709"/>
        <w:tab w:val="center" w:pos="4819" w:leader="none"/>
        <w:tab w:val="right" w:pos="9638" w:leader="none"/>
      </w:tabs>
      <w:jc w:val="center"/>
    </w:pPr>
    <w:rPr/>
  </w:style>
  <w:style w:type="paragraph" w:styleId="user30">
    <w:name w:val="Нижний колонтитул слева (user)"/>
    <w:basedOn w:val="Normal"/>
    <w:qFormat/>
    <w:pPr>
      <w:tabs>
        <w:tab w:val="clear" w:pos="709"/>
        <w:tab w:val="center" w:pos="4819" w:leader="none"/>
        <w:tab w:val="right" w:pos="9638" w:leader="none"/>
      </w:tabs>
      <w:jc w:val="start"/>
    </w:pPr>
    <w:rPr/>
  </w:style>
  <w:style w:type="paragraph" w:styleId="user31">
    <w:name w:val="Нижний колонтитул справа (user)"/>
    <w:basedOn w:val="Normal"/>
    <w:qFormat/>
    <w:pPr>
      <w:tabs>
        <w:tab w:val="clear" w:pos="709"/>
        <w:tab w:val="center" w:pos="4819" w:leader="none"/>
        <w:tab w:val="right" w:pos="9638" w:leader="none"/>
      </w:tabs>
      <w:jc w:val="end"/>
    </w:pPr>
    <w:rPr/>
  </w:style>
  <w:style w:type="paragraph" w:styleId="user32">
    <w:name w:val="Содержимое таблицы (user)"/>
    <w:basedOn w:val="Normal"/>
    <w:qFormat/>
    <w:pPr/>
    <w:rPr/>
  </w:style>
  <w:style w:type="paragraph" w:styleId="user33">
    <w:name w:val="Заголовок таблицы (user)"/>
    <w:basedOn w:val="user32"/>
    <w:qFormat/>
    <w:pPr>
      <w:jc w:val="center"/>
    </w:pPr>
    <w:rPr>
      <w:b/>
    </w:rPr>
  </w:style>
  <w:style w:type="paragraph" w:styleId="user34">
    <w:name w:val="Иллюстрация (user)"/>
    <w:basedOn w:val="Caption"/>
    <w:qFormat/>
    <w:pPr/>
    <w:rPr/>
  </w:style>
  <w:style w:type="paragraph" w:styleId="user35">
    <w:name w:val="Таблица (user)"/>
    <w:basedOn w:val="Caption"/>
    <w:qFormat/>
    <w:pPr/>
    <w:rPr/>
  </w:style>
  <w:style w:type="paragraph" w:styleId="user36">
    <w:name w:val="Текст (user)"/>
    <w:basedOn w:val="Caption"/>
    <w:qFormat/>
    <w:pPr/>
    <w:rPr/>
  </w:style>
  <w:style w:type="paragraph" w:styleId="user37">
    <w:name w:val="Содержимое врезки (user)"/>
    <w:basedOn w:val="Normal"/>
    <w:qFormat/>
    <w:pPr/>
    <w:rPr/>
  </w:style>
  <w:style w:type="paragraph" w:styleId="FootnoteText">
    <w:name w:val="footnote text"/>
    <w:basedOn w:val="Normal"/>
    <w:pPr>
      <w:ind w:hanging="0" w:start="0" w:end="0"/>
      <w:jc w:val="star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start="0" w:end="0"/>
    </w:pPr>
    <w:rPr>
      <w:sz w:val="28"/>
      <w:szCs w:val="24"/>
    </w:rPr>
  </w:style>
  <w:style w:type="paragraph" w:styleId="user38">
    <w:name w:val="Рисунок (user)"/>
    <w:basedOn w:val="Caption"/>
    <w:qFormat/>
    <w:pPr/>
    <w:rPr/>
  </w:style>
  <w:style w:type="paragraph" w:styleId="user39">
    <w:name w:val="Текст в заданном формате (user)"/>
    <w:basedOn w:val="Normal"/>
    <w:qFormat/>
    <w:pPr>
      <w:spacing w:before="0" w:after="0"/>
    </w:pPr>
    <w:rPr>
      <w:rFonts w:ascii="PT Astra Serif" w:hAnsi="PT Astra Serif" w:eastAsia="Source Han Sans CN Regular" w:cs="Lohit Devanagari"/>
      <w:sz w:val="28"/>
      <w:szCs w:val="24"/>
    </w:rPr>
  </w:style>
  <w:style w:type="paragraph" w:styleId="user40">
    <w:name w:val="Горизонтальная линия (user)"/>
    <w:basedOn w:val="Normal"/>
    <w:next w:val="BodyText"/>
    <w:qFormat/>
    <w:pPr>
      <w:pBdr>
        <w:bottom w:val="single" w:sz="8" w:space="0" w:color="000000"/>
      </w:pBdr>
      <w:spacing w:before="0" w:after="0"/>
    </w:pPr>
    <w:rPr>
      <w:sz w:val="4"/>
      <w:szCs w:val="24"/>
    </w:rPr>
  </w:style>
  <w:style w:type="paragraph" w:styleId="user41">
    <w:name w:val="Содержимое списка (user)"/>
    <w:basedOn w:val="Normal"/>
    <w:qFormat/>
    <w:pPr>
      <w:ind w:hanging="0" w:start="0" w:end="0"/>
    </w:pPr>
    <w:rPr/>
  </w:style>
  <w:style w:type="paragraph" w:styleId="user42">
    <w:name w:val="Заголовок списка (user)"/>
    <w:basedOn w:val="Normal"/>
    <w:next w:val="user41"/>
    <w:qFormat/>
    <w:pPr>
      <w:ind w:hanging="0" w:start="0" w:end="0"/>
    </w:pPr>
    <w:rPr/>
  </w:style>
  <w:style w:type="paragraph" w:styleId="Style13">
    <w:name w:val="Гриф_Экземпляр"/>
    <w:basedOn w:val="Normal"/>
    <w:qFormat/>
    <w:pPr>
      <w:ind w:hanging="0" w:start="0" w:end="0"/>
    </w:pPr>
    <w:rPr>
      <w:sz w:val="24"/>
    </w:rPr>
  </w:style>
  <w:style w:type="paragraph" w:styleId="Style14">
    <w:name w:val="Исполнитель документа"/>
    <w:basedOn w:val="Normal"/>
    <w:qFormat/>
    <w:pPr>
      <w:jc w:val="start"/>
    </w:pPr>
    <w:rPr>
      <w:sz w:val="24"/>
    </w:rPr>
  </w:style>
  <w:style w:type="paragraph" w:styleId="user43">
    <w:name w:val="Заголовок списка иллюстраций (user)"/>
    <w:basedOn w:val="user18"/>
    <w:qFormat/>
    <w:pPr>
      <w:suppressLineNumbers/>
      <w:ind w:hanging="0" w:start="0" w:end="0"/>
      <w:jc w:val="center"/>
    </w:pPr>
    <w:rPr/>
  </w:style>
  <w:style w:type="paragraph" w:styleId="ConsPlusNormal">
    <w:name w:val="ConsPlusNormal"/>
    <w:qFormat/>
    <w:pPr>
      <w:widowControl w:val="false"/>
      <w:suppressAutoHyphens w:val="true"/>
      <w:overflowPunct w:val="false"/>
      <w:bidi w:val="0"/>
      <w:spacing w:before="0" w:after="0"/>
      <w:jc w:val="start"/>
    </w:pPr>
    <w:rPr>
      <w:rFonts w:ascii="Times New Roman" w:hAnsi="Times New Roman" w:eastAsia="Arial" w:cs="Courier New"/>
      <w:b w:val="false"/>
      <w:i w:val="false"/>
      <w:strike w:val="false"/>
      <w:dstrike w:val="false"/>
      <w:color w:val="auto"/>
      <w:kern w:val="2"/>
      <w:sz w:val="24"/>
      <w:szCs w:val="24"/>
      <w:u w:val="none"/>
      <w:lang w:val="ru-RU" w:eastAsia="ru-RU" w:bidi="ru-RU"/>
    </w:rPr>
  </w:style>
  <w:style w:type="paragraph" w:styleId="ConsPlusTitle">
    <w:name w:val="ConsPlusTitle"/>
    <w:qFormat/>
    <w:pPr>
      <w:widowControl w:val="false"/>
      <w:suppressAutoHyphens w:val="true"/>
      <w:overflowPunct w:val="false"/>
      <w:bidi w:val="0"/>
      <w:spacing w:before="0" w:after="0"/>
      <w:jc w:val="start"/>
    </w:pPr>
    <w:rPr>
      <w:rFonts w:ascii="Arial" w:hAnsi="Arial" w:eastAsia="Arial" w:cs="Courier New"/>
      <w:b/>
      <w:i w:val="false"/>
      <w:strike w:val="false"/>
      <w:dstrike w:val="false"/>
      <w:color w:val="auto"/>
      <w:kern w:val="2"/>
      <w:sz w:val="24"/>
      <w:szCs w:val="24"/>
      <w:u w:val="none"/>
      <w:lang w:val="ru-RU" w:eastAsia="ru-RU" w:bidi="ru-RU"/>
    </w:rPr>
  </w:style>
  <w:style w:type="paragraph" w:styleId="Style15">
    <w:name w:val="Таблицы (моноширинный)"/>
    <w:basedOn w:val="Normal"/>
    <w:next w:val="Normal"/>
    <w:qFormat/>
    <w:pPr>
      <w:suppressAutoHyphens w:val="false"/>
      <w:spacing w:before="0" w:after="0"/>
      <w:ind w:hanging="0"/>
    </w:pPr>
    <w:rPr>
      <w:rFonts w:ascii="Courier New" w:hAnsi="Courier New"/>
      <w:sz w:val="24"/>
    </w:rPr>
  </w:style>
  <w:style w:type="paragraph" w:styleId="Style16">
    <w:name w:val="Нормальный (таблица)"/>
    <w:basedOn w:val="Normal"/>
    <w:next w:val="Normal"/>
    <w:qFormat/>
    <w:pPr>
      <w:suppressAutoHyphens w:val="false"/>
      <w:spacing w:before="0" w:after="0"/>
      <w:ind w:hanging="0"/>
      <w:jc w:val="both"/>
    </w:pPr>
    <w:rPr>
      <w:rFonts w:ascii="Times New Roman CYR" w:hAnsi="Times New Roman CYR"/>
      <w:sz w:val="24"/>
    </w:rPr>
  </w:style>
  <w:style w:type="paragraph" w:styleId="Style17">
    <w:name w:val="Прижатый влево"/>
    <w:basedOn w:val="Normal"/>
    <w:next w:val="Normal"/>
    <w:qFormat/>
    <w:pPr>
      <w:suppressAutoHyphens w:val="false"/>
      <w:spacing w:before="0" w:after="0"/>
      <w:ind w:hanging="0"/>
      <w:jc w:val="start"/>
    </w:pPr>
    <w:rPr>
      <w:rFonts w:ascii="Times New Roman CYR" w:hAnsi="Times New Roman CYR"/>
      <w:sz w:val="24"/>
    </w:rPr>
  </w:style>
  <w:style w:type="numbering" w:styleId="123user">
    <w:name w:val="Нумерованный 123 (user)"/>
    <w:qFormat/>
  </w:style>
  <w:style w:type="numbering" w:styleId="ABCuser">
    <w:name w:val="Нумерованный ABC (user)"/>
    <w:qFormat/>
  </w:style>
  <w:style w:type="numbering" w:styleId="abc1">
    <w:name w:val="Нумерованный abc1"/>
    <w:qFormat/>
  </w:style>
  <w:style w:type="numbering" w:styleId="IVXuser">
    <w:name w:val="Нумерованный IVX (user)"/>
    <w:qFormat/>
  </w:style>
  <w:style w:type="numbering" w:styleId="ivx1">
    <w:name w:val="Нумерованный ivx1"/>
    <w:qFormat/>
  </w:style>
  <w:style w:type="numbering" w:styleId="user44">
    <w:name w:val="Маркированный • (user)"/>
    <w:qFormat/>
  </w:style>
  <w:style w:type="numbering" w:styleId="user45">
    <w:name w:val="Маркированный – (user)"/>
    <w:qFormat/>
  </w:style>
  <w:style w:type="numbering" w:styleId="user46">
    <w:name w:val="Маркированный ☑ (user)"/>
    <w:qFormat/>
  </w:style>
  <w:style w:type="numbering" w:styleId="user47">
    <w:name w:val="Маркированный ➢ (user)"/>
    <w:qFormat/>
  </w:style>
  <w:style w:type="numbering" w:styleId="user48">
    <w:name w:val="Маркированный ✗ (user)"/>
    <w:qFormat/>
  </w:style>
  <w:style w:type="numbering" w:styleId="1">
    <w:name w:val="Нумерованный 1)"/>
    <w:qFormat/>
  </w:style>
  <w:style w:type="numbering" w:styleId="Style18">
    <w:name w:val="Нумерованный а)"/>
    <w:qFormat/>
  </w:style>
  <w:style w:type="numbering" w:styleId="Style19">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2112604/160211" TargetMode="External"/><Relationship Id="rId4" Type="http://schemas.openxmlformats.org/officeDocument/2006/relationships/hyperlink" Target="https://internet.garant.ru/document/redirect/12112604/160212" TargetMode="External"/><Relationship Id="rId5" Type="http://schemas.openxmlformats.org/officeDocument/2006/relationships/hyperlink" Target="https://internet.garant.ru/document/redirect/12112604/160215" TargetMode="External"/><Relationship Id="rId6" Type="http://schemas.openxmlformats.org/officeDocument/2006/relationships/hyperlink" Target="https://internet.garant.ru/document/redirect/73064558/1000" TargetMode="External"/><Relationship Id="rId7" Type="http://schemas.openxmlformats.org/officeDocument/2006/relationships/hyperlink" Target="https://internet.garant.ru/document/redirect/73064552/1014" TargetMode="External"/><Relationship Id="rId8" Type="http://schemas.openxmlformats.org/officeDocument/2006/relationships/hyperlink" Target="https://internet.garant.ru/document/redirect/73245780/1064" TargetMode="External"/><Relationship Id="rId9" Type="http://schemas.openxmlformats.org/officeDocument/2006/relationships/hyperlink" Target="https://internet.garant.ru/document/redirect/70465940/0" TargetMode="External"/><Relationship Id="rId10" Type="http://schemas.openxmlformats.org/officeDocument/2006/relationships/hyperlink" Target="https://internet.garant.ru/document/redirect/12112604/4"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header" Target="header6.xm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258</TotalTime>
  <Application>LibreOffice/25.2.6.2$Linux_X86_64 LibreOffice_project/520$Build-2</Application>
  <AppVersion>15.0000</AppVersion>
  <Pages>20</Pages>
  <Words>4101</Words>
  <Characters>32931</Characters>
  <CharactersWithSpaces>37403</CharactersWithSpaces>
  <Paragraphs>387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2026-04-20T15:16:12Z</dcterms:created>
  <dc:creator/>
  <dc:description/>
  <dc:language>ru-RU</dc:language>
  <cp:lastModifiedBy/>
  <dcterms:modified xsi:type="dcterms:W3CDTF">2026-08-12T15:31:58Z</dcterms:modified>
  <cp:revision>9</cp:revision>
  <dc:subject/>
  <dc:title>Default</dc:title>
</cp:coreProperties>
</file>

<file path=docProps/custom.xml><?xml version="1.0" encoding="utf-8"?>
<Properties xmlns="http://schemas.openxmlformats.org/officeDocument/2006/custom-properties" xmlns:vt="http://schemas.openxmlformats.org/officeDocument/2006/docPropsVTypes"/>
</file>