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drawing>
          <wp:anchor behindDoc="0" distT="0" distB="0" distL="114300" distR="114300" simplePos="0" locked="0" layoutInCell="0" allowOverlap="1" relativeHeight="6">
            <wp:simplePos x="0" y="0"/>
            <wp:positionH relativeFrom="margin">
              <wp:posOffset>744220</wp:posOffset>
            </wp:positionH>
            <wp:positionV relativeFrom="margin">
              <wp:posOffset>169545</wp:posOffset>
            </wp:positionV>
            <wp:extent cx="1689100" cy="1675130"/>
            <wp:effectExtent l="0" t="0" r="0" b="0"/>
            <wp:wrapSquare wrapText="bothSides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1675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a3"/>
        <w:tblW w:w="478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4786"/>
      </w:tblGrid>
      <w:tr>
        <w:trPr/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61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color w:val="0033CC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33CC"/>
                <w:kern w:val="0"/>
                <w:sz w:val="22"/>
                <w:szCs w:val="22"/>
                <w:lang w:val="ru-RU" w:bidi="ar-SA"/>
              </w:rPr>
            </w:r>
          </w:p>
          <w:p>
            <w:pPr>
              <w:pStyle w:val="Style61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color w:val="0033CC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33CC"/>
                <w:kern w:val="0"/>
                <w:sz w:val="22"/>
                <w:szCs w:val="22"/>
                <w:lang w:val="ru-RU" w:bidi="ar-SA"/>
              </w:rPr>
            </w:r>
          </w:p>
          <w:p>
            <w:pPr>
              <w:pStyle w:val="Style61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color w:val="0033CC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33CC"/>
                <w:kern w:val="0"/>
                <w:sz w:val="22"/>
                <w:szCs w:val="22"/>
                <w:lang w:val="ru-RU" w:bidi="ar-SA"/>
              </w:rPr>
              <w:t>Государственная программа</w:t>
            </w:r>
          </w:p>
          <w:p>
            <w:pPr>
              <w:pStyle w:val="Style61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color w:val="0033CC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33CC"/>
                <w:kern w:val="0"/>
                <w:sz w:val="22"/>
                <w:szCs w:val="22"/>
                <w:lang w:val="ru-RU" w:bidi="ar-SA"/>
              </w:rPr>
              <w:t>Ненецкого автономного округа</w:t>
            </w:r>
          </w:p>
          <w:p>
            <w:pPr>
              <w:pStyle w:val="Style61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color w:val="0033CC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33CC"/>
                <w:kern w:val="0"/>
                <w:sz w:val="22"/>
                <w:szCs w:val="22"/>
                <w:lang w:val="ru-RU" w:bidi="ar-SA"/>
              </w:rPr>
              <w:t>«Оказание содействия добровольному переселению в Ненецкий автономный округ</w:t>
            </w:r>
            <w:r>
              <w:rPr>
                <w:rFonts w:cs=""/>
                <w:kern w:val="0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cs="Times New Roman" w:ascii="Times New Roman" w:hAnsi="Times New Roman"/>
                <w:b/>
                <w:color w:val="0033CC"/>
                <w:kern w:val="0"/>
                <w:sz w:val="22"/>
                <w:szCs w:val="22"/>
                <w:lang w:val="ru-RU" w:bidi="ar-SA"/>
              </w:rPr>
              <w:t>соотечественников, проживающих</w:t>
            </w:r>
          </w:p>
          <w:p>
            <w:pPr>
              <w:pStyle w:val="Style61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33CC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33CC"/>
                <w:kern w:val="0"/>
                <w:sz w:val="22"/>
                <w:szCs w:val="22"/>
                <w:lang w:val="ru-RU" w:bidi="ar-SA"/>
              </w:rPr>
              <w:t>за рубежом»</w:t>
            </w:r>
          </w:p>
        </w:tc>
      </w:tr>
    </w:tbl>
    <w:p>
      <w:pPr>
        <w:pStyle w:val="Style61"/>
        <w:widowControl/>
        <w:spacing w:lineRule="auto" w:line="240"/>
        <w:jc w:val="center"/>
        <w:rPr>
          <w:rFonts w:ascii="Times New Roman" w:hAnsi="Times New Roman" w:cs="Times New Roman"/>
          <w:b/>
          <w:color w:val="0033CC"/>
          <w:sz w:val="19"/>
          <w:szCs w:val="19"/>
        </w:rPr>
      </w:pPr>
      <w:r>
        <w:rPr>
          <w:rFonts w:cs="Times New Roman" w:ascii="Times New Roman" w:hAnsi="Times New Roman"/>
          <w:b/>
          <w:color w:val="0033CC"/>
          <w:sz w:val="19"/>
          <w:szCs w:val="19"/>
        </w:rPr>
      </w:r>
    </w:p>
    <w:tbl>
      <w:tblPr>
        <w:tblStyle w:val="a3"/>
        <w:tblW w:w="4394" w:type="dxa"/>
        <w:jc w:val="left"/>
        <w:tblInd w:w="3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394"/>
      </w:tblGrid>
      <w:tr>
        <w:trPr/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61"/>
              <w:spacing w:before="0" w:after="0"/>
              <w:jc w:val="center"/>
              <w:rPr>
                <w:rFonts w:ascii="Times New Roman" w:hAnsi="Times New Roman" w:cs="Times New Roman"/>
                <w:b/>
                <w:color w:val="0033CC"/>
                <w:sz w:val="19"/>
                <w:szCs w:val="19"/>
              </w:rPr>
            </w:pPr>
            <w:r>
              <w:rPr>
                <w:rFonts w:cs="Times New Roman" w:ascii="Times New Roman" w:hAnsi="Times New Roman"/>
                <w:b/>
                <w:color w:val="0033CC"/>
                <w:kern w:val="0"/>
                <w:sz w:val="19"/>
                <w:szCs w:val="19"/>
                <w:lang w:val="ru-RU" w:bidi="ar-SA"/>
              </w:rPr>
              <w:t>Единовременная компенсационная</w:t>
            </w:r>
          </w:p>
          <w:p>
            <w:pPr>
              <w:pStyle w:val="Style61"/>
              <w:spacing w:before="0" w:after="0"/>
              <w:jc w:val="center"/>
              <w:rPr>
                <w:rFonts w:ascii="Times New Roman" w:hAnsi="Times New Roman" w:cs="Times New Roman"/>
                <w:b/>
                <w:color w:val="0033CC"/>
                <w:sz w:val="19"/>
                <w:szCs w:val="19"/>
              </w:rPr>
            </w:pPr>
            <w:r>
              <w:rPr>
                <w:rFonts w:cs="Times New Roman" w:ascii="Times New Roman" w:hAnsi="Times New Roman"/>
                <w:b/>
                <w:color w:val="0033CC"/>
                <w:kern w:val="0"/>
                <w:sz w:val="19"/>
                <w:szCs w:val="19"/>
                <w:lang w:val="ru-RU" w:bidi="ar-SA"/>
              </w:rPr>
              <w:t>социальной выплаты к учебному году</w:t>
            </w:r>
          </w:p>
          <w:p>
            <w:pPr>
              <w:pStyle w:val="Style61"/>
              <w:spacing w:before="0" w:after="0"/>
              <w:jc w:val="center"/>
              <w:rPr>
                <w:rFonts w:ascii="Times New Roman" w:hAnsi="Times New Roman" w:cs="Times New Roman"/>
                <w:b/>
                <w:color w:val="0033CC"/>
                <w:sz w:val="19"/>
                <w:szCs w:val="19"/>
              </w:rPr>
            </w:pPr>
            <w:r>
              <w:rPr>
                <w:rFonts w:cs="Times New Roman" w:ascii="Times New Roman" w:hAnsi="Times New Roman"/>
                <w:b/>
                <w:color w:val="0033CC"/>
                <w:kern w:val="0"/>
                <w:sz w:val="19"/>
                <w:szCs w:val="19"/>
                <w:lang w:val="ru-RU" w:bidi="ar-SA"/>
              </w:rPr>
              <w:t>на каждого ребенка, обучающегося</w:t>
            </w:r>
          </w:p>
          <w:p>
            <w:pPr>
              <w:pStyle w:val="Style61"/>
              <w:spacing w:before="0" w:after="0"/>
              <w:jc w:val="center"/>
              <w:rPr>
                <w:rFonts w:ascii="Times New Roman" w:hAnsi="Times New Roman" w:cs="Times New Roman"/>
                <w:b/>
                <w:color w:val="0033CC"/>
                <w:sz w:val="19"/>
                <w:szCs w:val="19"/>
              </w:rPr>
            </w:pPr>
            <w:r>
              <w:rPr>
                <w:rFonts w:cs="Times New Roman" w:ascii="Times New Roman" w:hAnsi="Times New Roman"/>
                <w:b/>
                <w:color w:val="0033CC"/>
                <w:kern w:val="0"/>
                <w:sz w:val="19"/>
                <w:szCs w:val="19"/>
                <w:lang w:val="ru-RU" w:bidi="ar-SA"/>
              </w:rPr>
              <w:t>в образовательной организации</w:t>
            </w:r>
          </w:p>
          <w:p>
            <w:pPr>
              <w:pStyle w:val="Style61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33CC"/>
                <w:sz w:val="19"/>
                <w:szCs w:val="19"/>
              </w:rPr>
            </w:pPr>
            <w:r>
              <w:rPr>
                <w:rFonts w:cs="Times New Roman" w:ascii="Times New Roman" w:hAnsi="Times New Roman"/>
                <w:b/>
                <w:color w:val="0033CC"/>
                <w:kern w:val="0"/>
                <w:sz w:val="19"/>
                <w:szCs w:val="19"/>
                <w:lang w:val="ru-RU" w:bidi="ar-SA"/>
              </w:rPr>
              <w:t>Ненецкого автономного округа</w:t>
            </w:r>
          </w:p>
        </w:tc>
      </w:tr>
    </w:tbl>
    <w:p>
      <w:pPr>
        <w:pStyle w:val="Style61"/>
        <w:widowControl/>
        <w:spacing w:lineRule="auto" w:line="240"/>
        <w:ind w:firstLine="249"/>
        <w:rPr>
          <w:rFonts w:ascii="Times New Roman" w:hAnsi="Times New Roman" w:cs="Times New Roman"/>
          <w:b/>
          <w:color w:val="0033CC"/>
          <w:sz w:val="19"/>
          <w:szCs w:val="19"/>
        </w:rPr>
      </w:pPr>
      <w:r>
        <w:rPr>
          <w:rFonts w:cs="Times New Roman" w:ascii="Times New Roman" w:hAnsi="Times New Roman"/>
          <w:b/>
          <w:color w:val="0033CC"/>
          <w:sz w:val="19"/>
          <w:szCs w:val="19"/>
        </w:rPr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 xml:space="preserve">Единовременная компенсационная социальная выплата </w:t>
        <w:br/>
        <w:t xml:space="preserve">к учебному году на каждого ребенка, обучающегося </w:t>
        <w:br/>
        <w:t xml:space="preserve">в образовательной организации Ненецкого автономного округа (далее – компенсация к учебному году) предоставляется однократно участнику Государственной программы в размере фактически понесенных расходов, </w:t>
      </w:r>
      <w:r>
        <w:rPr>
          <w:rFonts w:cs="Times New Roman" w:ascii="Times New Roman" w:hAnsi="Times New Roman"/>
          <w:b/>
          <w:sz w:val="17"/>
          <w:szCs w:val="17"/>
        </w:rPr>
        <w:t>но не более 9 000 (девять тысяч) рублей на каждого ребенка</w:t>
      </w:r>
      <w:r>
        <w:rPr>
          <w:rFonts w:cs="Times New Roman" w:ascii="Times New Roman" w:hAnsi="Times New Roman"/>
          <w:sz w:val="17"/>
          <w:szCs w:val="17"/>
        </w:rPr>
        <w:t>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 xml:space="preserve">Компенсация к учебному году предоставляется участнику Государственной программы на каждого ребенка согласно перечню и количеству одежды, обуви, школьной и спортивной формы, школьных канцелярских принадлежностей, а также школьного спортивного инвентаря, установленному </w:t>
        <w:br/>
        <w:t xml:space="preserve">в Приложении 4 к Порядку </w:t>
      </w:r>
      <w:r>
        <w:rPr>
          <w:rFonts w:cs="Times New Roman" w:ascii="Times New Roman" w:hAnsi="Times New Roman"/>
          <w:bCs/>
          <w:sz w:val="17"/>
          <w:szCs w:val="17"/>
        </w:rPr>
        <w:t xml:space="preserve">реализации отдельных мероприятий государственной программы Ненецкого автономного округа «Оказание содействия добровольному переселению в Ненецкий автономный округ соотечественников, проживающих </w:t>
        <w:br/>
        <w:t>за рубежом»</w:t>
      </w:r>
      <w:r>
        <w:rPr>
          <w:rFonts w:cs="Times New Roman" w:ascii="Times New Roman" w:hAnsi="Times New Roman"/>
          <w:sz w:val="17"/>
          <w:szCs w:val="17"/>
        </w:rPr>
        <w:t>, утвержденного постановлением Администрации НАО от 09.02.2021 № 28-п (далее – Порядок).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7"/>
          <w:szCs w:val="17"/>
        </w:rPr>
      </w:pPr>
      <w:hyperlink r:id="rId3" w:anchor="Par149" w:tgtFrame=" ЗАЯВЛЕНИЕ">
        <w:r>
          <w:rPr>
            <w:rStyle w:val="Hyperlink"/>
            <w:rFonts w:cs="Times New Roman" w:ascii="Times New Roman" w:hAnsi="Times New Roman"/>
            <w:color w:themeColor="text1" w:val="000000"/>
            <w:sz w:val="17"/>
            <w:szCs w:val="17"/>
            <w:u w:val="none"/>
          </w:rPr>
          <w:t>Заявление</w:t>
        </w:r>
      </w:hyperlink>
      <w:r>
        <w:rPr>
          <w:rFonts w:cs="Times New Roman" w:ascii="Times New Roman" w:hAnsi="Times New Roman"/>
          <w:sz w:val="17"/>
          <w:szCs w:val="17"/>
        </w:rPr>
        <w:t xml:space="preserve"> о предоставлении единовременной компенсационной социальной выплаты участнику Государственной программы по форме согласно Приложению 5 к Порядку </w:t>
      </w:r>
      <w:r>
        <w:rPr>
          <w:rFonts w:cs="Times New Roman" w:ascii="Times New Roman" w:hAnsi="Times New Roman"/>
          <w:bCs/>
          <w:sz w:val="17"/>
          <w:szCs w:val="17"/>
        </w:rPr>
        <w:t>реализации отдельных мероприятий государственной программы Ненецкого автономного округа «Оказание содействия добровольному переселению в Ненецкий автономный округ соотечественников, проживающих за рубежом»</w:t>
      </w:r>
      <w:r>
        <w:rPr>
          <w:rFonts w:cs="Times New Roman" w:ascii="Times New Roman" w:hAnsi="Times New Roman"/>
          <w:sz w:val="17"/>
          <w:szCs w:val="17"/>
        </w:rPr>
        <w:t>, утвержденного постановлением Администрации НАО от 09.02.2021 № 28-п (далее – Порядок) представляется в ГКУ НАО «Отделение социальной защиты населения» (далее – ГКУ НАО «ОСЗН» )</w:t>
      </w:r>
      <w:r>
        <w:rPr>
          <w:rFonts w:cs="Times New Roman" w:ascii="Times New Roman" w:hAnsi="Times New Roman"/>
          <w:b/>
          <w:sz w:val="17"/>
          <w:szCs w:val="17"/>
        </w:rPr>
        <w:t>в период с 1 июня по 1 декабря текущего года</w:t>
      </w:r>
      <w:r>
        <w:rPr>
          <w:rFonts w:cs="Times New Roman" w:ascii="Times New Roman" w:hAnsi="Times New Roman"/>
          <w:sz w:val="17"/>
          <w:szCs w:val="17"/>
        </w:rPr>
        <w:t>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>По выбору участника Государственной программы заявление представляется в ГКУ НАО «ОСЗН» на бумажном носителе лично или через законного представителя, или путем направления по почте, либо в форме электронного документа с использованием регионального портала государственных и муниципальных услуг, либо через МФЦ.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7"/>
          <w:szCs w:val="17"/>
        </w:rPr>
      </w:pPr>
      <w:bookmarkStart w:id="0" w:name="Par72"/>
      <w:bookmarkEnd w:id="0"/>
      <w:r>
        <w:rPr>
          <w:rFonts w:cs="Times New Roman" w:ascii="Times New Roman" w:hAnsi="Times New Roman"/>
          <w:sz w:val="17"/>
          <w:szCs w:val="17"/>
        </w:rPr>
        <w:t>К заявлению участник Государственной программы прилагает следующие документы:</w:t>
      </w:r>
    </w:p>
    <w:p>
      <w:pPr>
        <w:pStyle w:val="ListParagraph"/>
        <w:numPr>
          <w:ilvl w:val="0"/>
          <w:numId w:val="1"/>
        </w:numPr>
        <w:ind w:firstLine="249" w:left="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>копии документов, удостоверяющих личность участника Государственной программы;</w:t>
      </w:r>
    </w:p>
    <w:p>
      <w:pPr>
        <w:pStyle w:val="ListParagraph"/>
        <w:numPr>
          <w:ilvl w:val="0"/>
          <w:numId w:val="1"/>
        </w:numPr>
        <w:ind w:firstLine="249" w:left="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>копию свидетельства участника Государственной программы, полученного на территории Ненецкого автономного округа;</w:t>
      </w:r>
    </w:p>
    <w:p>
      <w:pPr>
        <w:pStyle w:val="ListParagraph"/>
        <w:numPr>
          <w:ilvl w:val="0"/>
          <w:numId w:val="1"/>
        </w:numPr>
        <w:ind w:firstLine="249" w:left="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>документы, подтверждающие обучение (поступление) детей участника Государственной программы в образовательную организацию Ненецкого автономного округа по образовательным программам начального общего, основного общего, среднего общего образования;</w:t>
      </w:r>
    </w:p>
    <w:p>
      <w:pPr>
        <w:pStyle w:val="ListParagraph"/>
        <w:numPr>
          <w:ilvl w:val="0"/>
          <w:numId w:val="5"/>
        </w:numPr>
        <w:ind w:firstLine="249" w:left="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>копию договора о приемной семье (в случае если участник является приемным родителем);</w:t>
      </w:r>
    </w:p>
    <w:p>
      <w:pPr>
        <w:pStyle w:val="ListParagraph"/>
        <w:numPr>
          <w:ilvl w:val="0"/>
          <w:numId w:val="6"/>
        </w:numPr>
        <w:ind w:firstLine="249" w:left="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 xml:space="preserve">документы (кассовые и товарные чеки, платежные поручения, счета-фактуры и иные документы), подтверждающие произведенные расходы на приобретение одежды, обуви, школьной и спортивной формы, школьных канцелярских принадлежностей, а также школьного спортивного инвентаря, согласно </w:t>
      </w:r>
      <w:hyperlink r:id="rId4" w:anchor="Par215" w:tgtFrame="Перечень">
        <w:r>
          <w:rPr>
            <w:rStyle w:val="Hyperlink"/>
            <w:rFonts w:cs="Times New Roman" w:ascii="Times New Roman" w:hAnsi="Times New Roman"/>
            <w:color w:themeColor="text1" w:val="000000"/>
            <w:sz w:val="17"/>
            <w:szCs w:val="17"/>
            <w:u w:val="none"/>
          </w:rPr>
          <w:t>перечню</w:t>
        </w:r>
      </w:hyperlink>
      <w:r>
        <w:rPr>
          <w:rFonts w:cs="Times New Roman" w:ascii="Times New Roman" w:hAnsi="Times New Roman"/>
          <w:color w:themeColor="text1" w:val="000000"/>
          <w:sz w:val="17"/>
          <w:szCs w:val="17"/>
        </w:rPr>
        <w:t>, у</w:t>
      </w:r>
      <w:r>
        <w:rPr>
          <w:rFonts w:cs="Times New Roman" w:ascii="Times New Roman" w:hAnsi="Times New Roman"/>
          <w:sz w:val="17"/>
          <w:szCs w:val="17"/>
        </w:rPr>
        <w:t>становленному в Приложении 4 к Порядку.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 xml:space="preserve">В случае, если участник Государственной программы не представил по собственной инициативе документы, указанные в </w:t>
      </w:r>
      <w:r>
        <w:rPr>
          <w:rFonts w:cs="Times New Roman" w:ascii="Times New Roman" w:hAnsi="Times New Roman"/>
          <w:color w:themeColor="text1" w:val="000000"/>
          <w:sz w:val="17"/>
          <w:szCs w:val="17"/>
        </w:rPr>
        <w:t>под</w:t>
      </w:r>
      <w:hyperlink r:id="rId5">
        <w:r>
          <w:rPr>
            <w:rStyle w:val="Hyperlink"/>
            <w:rFonts w:cs="Times New Roman" w:ascii="Times New Roman" w:hAnsi="Times New Roman"/>
            <w:color w:themeColor="text1" w:val="000000"/>
            <w:sz w:val="17"/>
            <w:szCs w:val="17"/>
            <w:u w:val="none"/>
          </w:rPr>
          <w:t>пунктах 2–4</w:t>
        </w:r>
      </w:hyperlink>
      <w:r>
        <w:rPr>
          <w:rFonts w:cs="Times New Roman" w:ascii="Times New Roman" w:hAnsi="Times New Roman"/>
          <w:sz w:val="17"/>
          <w:szCs w:val="17"/>
        </w:rPr>
        <w:t xml:space="preserve"> настоящего пункта, ГКУ НАО «ОСЗН» самостоятельно запрашивает указанные документы (их копии или содержащиеся в них сведения) в рамках межведомственного информационного взаимодействия.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>Копии представленных участником Государственной программы документов должны быть удостоверены нотариусом или другим должностным лицом, имеющим право совершать нотариальные действия, либо представлены с предъявлением подлинников. Копии документов, представленные с предъявлением подлинника, заверяются специалистом ГКУ НАО «ОСЗН» или специалистом МФЦ, осуществляющим прием документов.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>При подаче заявления в форме электронного документа с использованием регионального портала государственных и муниципальных услуг к нему прикрепляются скан-образцы документов.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>При этом заявление и документы заверяются электронной подписью участника Государственной программы.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>ГКУ НАО «ОСЗН» в течение 15 календарных дней со дня поступления заявления с прилагаемыми документами принимает решение о предоставлении компенсации к учебному году либо отказывает в ее предоставлении.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>Решение о предоставлении компенсации к учебному году оформляется распоряжением ГКУ НАО «ОСЗН».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>В течение 5 календарных дней со дня издания распоряжения о предоставлении компенсации к учебному году ГКУ НАО «ОСЗН» направляет участнику Государственной программы уведомление об этом.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>Основаниями для отказа в предоставлении компенсации к учебному году являются:</w:t>
      </w:r>
    </w:p>
    <w:p>
      <w:pPr>
        <w:pStyle w:val="ListParagraph"/>
        <w:numPr>
          <w:ilvl w:val="0"/>
          <w:numId w:val="3"/>
        </w:numPr>
        <w:ind w:firstLine="249" w:left="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>нарушение срока предоставления заявления;</w:t>
      </w:r>
    </w:p>
    <w:p>
      <w:pPr>
        <w:pStyle w:val="ListParagraph"/>
        <w:numPr>
          <w:ilvl w:val="0"/>
          <w:numId w:val="3"/>
        </w:numPr>
        <w:ind w:firstLine="249" w:left="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 xml:space="preserve">непредставление участником Государственной программы документов (кассовые и товарные чеки, платежные поручения, счета-фактуры и иные документы), подтверждающие произведенные расходы на приобретение одежды, обуви, школьной и спортивной формы, школьных канцелярских принадлежностей, а также школьного спортивного инвентаря. </w:t>
      </w:r>
    </w:p>
    <w:p>
      <w:pPr>
        <w:pStyle w:val="Normal"/>
        <w:ind w:firstLine="249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>В случае отказа в предоставлении компенсации к учебному году ГКУ НАО «ОСЗН» не позднее 18 календарных дней со дня поступления заявления о предоставлении компенсации к учебному году направляет участнику Государственной программы уведомление об отказе в предоставлении компенсации к учебному году с указанием причин отказа.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>При устранении причин, послуживших основанием для отказа в предоставлении компенсации к учебному году, участник Государственной программы вправе обратиться повторно в ГКУ НАО «ОСЗН» за ее получением в соответствии с условиями, определенными настоящим Порядком.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>Перечисление денежных средств производится ГКУ НАО «ОСЗН» через кредитные организации в течение 10 рабочих дней со дня принятия решения о предоставлении компенсации к учебному году.</w:t>
      </w:r>
    </w:p>
    <w:p>
      <w:pPr>
        <w:pStyle w:val="ListParagraph"/>
        <w:ind w:left="454"/>
        <w:jc w:val="center"/>
        <w:rPr>
          <w:rFonts w:ascii="Times New Roman" w:hAnsi="Times New Roman" w:cs="Times New Roman"/>
          <w:b/>
          <w:sz w:val="17"/>
          <w:szCs w:val="17"/>
          <w:u w:val="single"/>
        </w:rPr>
      </w:pPr>
      <w:r>
        <w:rPr>
          <w:rFonts w:cs="Times New Roman" w:ascii="Times New Roman" w:hAnsi="Times New Roman"/>
          <w:b/>
          <w:sz w:val="17"/>
          <w:szCs w:val="17"/>
          <w:u w:val="single"/>
        </w:rPr>
      </w:r>
    </w:p>
    <w:p>
      <w:pPr>
        <w:pStyle w:val="ListParagraph"/>
        <w:ind w:left="454"/>
        <w:jc w:val="center"/>
        <w:rPr>
          <w:rFonts w:ascii="Times New Roman" w:hAnsi="Times New Roman" w:cs="Times New Roman"/>
          <w:b/>
          <w:sz w:val="17"/>
          <w:szCs w:val="17"/>
          <w:u w:val="single"/>
        </w:rPr>
      </w:pPr>
      <w:r>
        <w:rPr>
          <w:rFonts w:cs="Times New Roman" w:ascii="Times New Roman" w:hAnsi="Times New Roman"/>
          <w:b/>
          <w:sz w:val="17"/>
          <w:szCs w:val="17"/>
          <w:u w:val="single"/>
        </w:rPr>
      </w:r>
    </w:p>
    <w:p>
      <w:pPr>
        <w:pStyle w:val="ListParagraph"/>
        <w:ind w:left="454"/>
        <w:jc w:val="center"/>
        <w:rPr>
          <w:rFonts w:ascii="Times New Roman" w:hAnsi="Times New Roman" w:cs="Times New Roman"/>
          <w:color w:val="0070C0"/>
          <w:sz w:val="17"/>
          <w:szCs w:val="17"/>
        </w:rPr>
      </w:pPr>
      <w:r>
        <mc:AlternateContent>
          <mc:Choice Requires="wps">
            <w:drawing>
              <wp:anchor behindDoc="0" distT="0" distB="19050" distL="0" distR="22225" simplePos="0" locked="0" layoutInCell="1" allowOverlap="1" relativeHeight="4" wp14:anchorId="06AEB926">
                <wp:simplePos x="0" y="0"/>
                <wp:positionH relativeFrom="column">
                  <wp:posOffset>19050</wp:posOffset>
                </wp:positionH>
                <wp:positionV relativeFrom="paragraph">
                  <wp:posOffset>114935</wp:posOffset>
                </wp:positionV>
                <wp:extent cx="3101975" cy="914400"/>
                <wp:effectExtent l="5715" t="5080" r="4445" b="5080"/>
                <wp:wrapNone/>
                <wp:docPr id="2" name="Поле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212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66cc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Heading4"/>
                              <w:widowControl w:val="false"/>
                              <w:spacing w:before="0" w:after="0"/>
                              <w:rPr>
                                <w:rFonts w:ascii="Times New Roman" w:hAnsi="Times New Roman" w:eastAsia="" w:cs="Times New Roman" w:eastAsiaTheme="minorEastAsia"/>
                                <w:bCs w:val="false"/>
                                <w:caps w:val="false"/>
                                <w:smallCaps w:val="false"/>
                                <w:color w:val="auto"/>
                                <w:spacing w:val="0"/>
                                <w:kern w:val="0"/>
                              </w:rPr>
                            </w:pPr>
                            <w:r>
                              <w:rPr>
                                <w:rFonts w:eastAsia="" w:cs="Times New Roman" w:ascii="Times New Roman" w:hAnsi="Times New Roman" w:eastAsiaTheme="minorEastAsia"/>
                                <w:bCs w:val="false"/>
                                <w:caps w:val="false"/>
                                <w:smallCaps w:val="false"/>
                                <w:color w:val="auto"/>
                                <w:spacing w:val="0"/>
                                <w:kern w:val="0"/>
                              </w:rPr>
                              <w:t xml:space="preserve">Департамент труда и социальной защиты населения </w:t>
                            </w:r>
                          </w:p>
                          <w:p>
                            <w:pPr>
                              <w:pStyle w:val="Heading4"/>
                              <w:widowControl w:val="false"/>
                              <w:spacing w:before="0" w:after="0"/>
                              <w:rPr>
                                <w:rFonts w:ascii="Times New Roman" w:hAnsi="Times New Roman" w:eastAsia="" w:cs="Times New Roman" w:eastAsiaTheme="minorEastAsia"/>
                                <w:bCs w:val="false"/>
                                <w:caps w:val="false"/>
                                <w:smallCaps w:val="false"/>
                                <w:color w:val="auto"/>
                                <w:spacing w:val="0"/>
                                <w:kern w:val="0"/>
                              </w:rPr>
                            </w:pPr>
                            <w:r>
                              <w:rPr>
                                <w:rFonts w:eastAsia="" w:cs="Times New Roman" w:ascii="Times New Roman" w:hAnsi="Times New Roman" w:eastAsiaTheme="minorEastAsia"/>
                                <w:bCs w:val="false"/>
                                <w:caps w:val="false"/>
                                <w:smallCaps w:val="false"/>
                                <w:color w:val="auto"/>
                                <w:spacing w:val="0"/>
                                <w:kern w:val="0"/>
                              </w:rPr>
                              <w:t xml:space="preserve">Ненецкого автономного округа </w:t>
                            </w:r>
                          </w:p>
                          <w:p>
                            <w:pPr>
                              <w:pStyle w:val="Style111"/>
                              <w:spacing w:lineRule="auto" w:line="240"/>
                              <w:ind w:hanging="142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166000, г. Нарьян-Мар, ул. Смидовича, д. 25 (вход со двора)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тел. +7 (81853) 2-13-68</w:t>
                            </w:r>
                            <w:bookmarkStart w:id="1" w:name="_GoBack"/>
                            <w:bookmarkEnd w:id="1"/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en-US"/>
                              </w:rPr>
                              <w:t>E-mail: dtiszn@adm-nao.ru</w:t>
                            </w:r>
                          </w:p>
                          <w:p>
                            <w:pPr>
                              <w:pStyle w:val="Style111"/>
                              <w:spacing w:lineRule="auto" w:line="240"/>
                              <w:jc w:val="center"/>
                              <w:rPr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>Официальный сайт: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Style w:val="Hyperlink"/>
                                <w:rFonts w:ascii="Times New Roman" w:hAnsi="Times New Roman"/>
                                <w:bCs/>
                                <w:sz w:val="16"/>
                                <w:szCs w:val="16"/>
                                <w:lang w:val="en-US"/>
                              </w:rPr>
                              <w:t>https://dtiszn.adm-nao.ru/</w:t>
                            </w:r>
                          </w:p>
                          <w:p>
                            <w:pPr>
                              <w:pStyle w:val="Style111"/>
                              <w:spacing w:lineRule="auto" w:line="24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Style111"/>
                              <w:spacing w:lineRule="auto" w:line="24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36360" rIns="36360" tIns="36360" bIns="3636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6" path="m0,0l-2147483645,0l-2147483645,-2147483646l0,-2147483646xe" fillcolor="white" stroked="t" o:allowincell="f" style="position:absolute;margin-left:1.5pt;margin-top:9.05pt;width:244.2pt;height:71.95pt;mso-wrap-style:square;v-text-anchor:top" wp14:anchorId="06AEB926">
                <v:fill o:detectmouseclick="t" type="solid" color2="black"/>
                <v:stroke color="#66ccff" weight="9360" joinstyle="miter" endcap="flat"/>
                <v:textbox>
                  <w:txbxContent>
                    <w:p>
                      <w:pPr>
                        <w:pStyle w:val="Heading4"/>
                        <w:widowControl w:val="false"/>
                        <w:spacing w:before="0" w:after="0"/>
                        <w:rPr>
                          <w:rFonts w:ascii="Times New Roman" w:hAnsi="Times New Roman" w:eastAsia="" w:cs="Times New Roman" w:eastAsiaTheme="minorEastAsia"/>
                          <w:bCs w:val="false"/>
                          <w:caps w:val="false"/>
                          <w:smallCaps w:val="false"/>
                          <w:color w:val="auto"/>
                          <w:spacing w:val="0"/>
                          <w:kern w:val="0"/>
                        </w:rPr>
                      </w:pPr>
                      <w:r>
                        <w:rPr>
                          <w:rFonts w:eastAsia="" w:cs="Times New Roman" w:ascii="Times New Roman" w:hAnsi="Times New Roman" w:eastAsiaTheme="minorEastAsia"/>
                          <w:bCs w:val="false"/>
                          <w:caps w:val="false"/>
                          <w:smallCaps w:val="false"/>
                          <w:color w:val="auto"/>
                          <w:spacing w:val="0"/>
                          <w:kern w:val="0"/>
                        </w:rPr>
                        <w:t xml:space="preserve">Департамент труда и социальной защиты населения </w:t>
                      </w:r>
                    </w:p>
                    <w:p>
                      <w:pPr>
                        <w:pStyle w:val="Heading4"/>
                        <w:widowControl w:val="false"/>
                        <w:spacing w:before="0" w:after="0"/>
                        <w:rPr>
                          <w:rFonts w:ascii="Times New Roman" w:hAnsi="Times New Roman" w:eastAsia="" w:cs="Times New Roman" w:eastAsiaTheme="minorEastAsia"/>
                          <w:bCs w:val="false"/>
                          <w:caps w:val="false"/>
                          <w:smallCaps w:val="false"/>
                          <w:color w:val="auto"/>
                          <w:spacing w:val="0"/>
                          <w:kern w:val="0"/>
                        </w:rPr>
                      </w:pPr>
                      <w:r>
                        <w:rPr>
                          <w:rFonts w:eastAsia="" w:cs="Times New Roman" w:ascii="Times New Roman" w:hAnsi="Times New Roman" w:eastAsiaTheme="minorEastAsia"/>
                          <w:bCs w:val="false"/>
                          <w:caps w:val="false"/>
                          <w:smallCaps w:val="false"/>
                          <w:color w:val="auto"/>
                          <w:spacing w:val="0"/>
                          <w:kern w:val="0"/>
                        </w:rPr>
                        <w:t xml:space="preserve">Ненецкого автономного округа </w:t>
                      </w:r>
                    </w:p>
                    <w:p>
                      <w:pPr>
                        <w:pStyle w:val="Style111"/>
                        <w:spacing w:lineRule="auto" w:line="240"/>
                        <w:ind w:hanging="142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166000, г. Нарьян-Мар, ул. Смидовича, д. 25 (вход со двора)</w:t>
                      </w:r>
                    </w:p>
                    <w:p>
                      <w:pPr>
                        <w:pStyle w:val="Normal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тел. +7 (81853) 2-13-68</w:t>
                      </w:r>
                      <w:bookmarkStart w:id="2" w:name="_GoBack"/>
                      <w:bookmarkEnd w:id="2"/>
                    </w:p>
                    <w:p>
                      <w:pPr>
                        <w:pStyle w:val="Normal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  <w:lang w:val="en-US"/>
                        </w:rPr>
                        <w:t>E-mail: dtiszn@adm-nao.ru</w:t>
                      </w:r>
                    </w:p>
                    <w:p>
                      <w:pPr>
                        <w:pStyle w:val="Style111"/>
                        <w:spacing w:lineRule="auto" w:line="240"/>
                        <w:jc w:val="center"/>
                        <w:rPr/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16"/>
                          <w:szCs w:val="16"/>
                        </w:rPr>
                        <w:t>Официальный сайт:</w:t>
                      </w:r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Style w:val="Hyperlink"/>
                          <w:rFonts w:ascii="Times New Roman" w:hAnsi="Times New Roman"/>
                          <w:bCs/>
                          <w:sz w:val="16"/>
                          <w:szCs w:val="16"/>
                          <w:lang w:val="en-US"/>
                        </w:rPr>
                        <w:t>https://dtiszn.adm-nao.ru/</w:t>
                      </w:r>
                    </w:p>
                    <w:p>
                      <w:pPr>
                        <w:pStyle w:val="Style111"/>
                        <w:spacing w:lineRule="auto" w:line="24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/>
                      </w:r>
                    </w:p>
                    <w:p>
                      <w:pPr>
                        <w:pStyle w:val="Style111"/>
                        <w:spacing w:lineRule="auto" w:line="24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  <w:b/>
          <w:sz w:val="17"/>
          <w:szCs w:val="17"/>
          <w:u w:val="single"/>
        </w:rPr>
        <w:t>КОНТАКТЫ:</w:t>
      </w:r>
    </w:p>
    <w:p>
      <w:pPr>
        <w:pStyle w:val="ListParagraph"/>
        <w:ind w:left="454"/>
        <w:jc w:val="both"/>
        <w:rPr>
          <w:rFonts w:ascii="Times New Roman" w:hAnsi="Times New Roman" w:cs="Times New Roman"/>
          <w:color w:val="0070C0"/>
          <w:sz w:val="17"/>
          <w:szCs w:val="17"/>
        </w:rPr>
      </w:pPr>
      <w:r>
        <w:rPr>
          <w:rFonts w:cs="Times New Roman" w:ascii="Times New Roman" w:hAnsi="Times New Roman"/>
          <w:color w:val="0070C0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color w:val="0070C0"/>
          <w:sz w:val="17"/>
          <w:szCs w:val="17"/>
        </w:rPr>
      </w:pPr>
      <w:r>
        <w:rPr>
          <w:rFonts w:cs="Times New Roman" w:ascii="Times New Roman" w:hAnsi="Times New Roman"/>
          <w:color w:val="0070C0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color w:val="0070C0"/>
          <w:sz w:val="17"/>
          <w:szCs w:val="17"/>
        </w:rPr>
      </w:pPr>
      <w:r>
        <w:rPr>
          <w:rFonts w:cs="Times New Roman" w:ascii="Times New Roman" w:hAnsi="Times New Roman"/>
          <w:color w:val="0070C0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color w:val="0070C0"/>
          <w:sz w:val="17"/>
          <w:szCs w:val="17"/>
        </w:rPr>
      </w:pPr>
      <w:r>
        <w:rPr>
          <w:rFonts w:cs="Times New Roman" w:ascii="Times New Roman" w:hAnsi="Times New Roman"/>
          <w:color w:val="0070C0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color w:val="0070C0"/>
          <w:sz w:val="17"/>
          <w:szCs w:val="17"/>
        </w:rPr>
      </w:pPr>
      <w:r>
        <w:rPr>
          <w:rFonts w:cs="Times New Roman" w:ascii="Times New Roman" w:hAnsi="Times New Roman"/>
          <w:color w:val="0070C0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color w:val="0070C0"/>
          <w:sz w:val="17"/>
          <w:szCs w:val="17"/>
        </w:rPr>
      </w:pPr>
      <w:r>
        <w:rPr>
          <w:rFonts w:cs="Times New Roman" w:ascii="Times New Roman" w:hAnsi="Times New Roman"/>
          <w:color w:val="0070C0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mc:AlternateContent>
          <mc:Choice Requires="wps">
            <w:drawing>
              <wp:anchor behindDoc="0" distT="0" distB="12700" distL="0" distR="12700" simplePos="0" locked="0" layoutInCell="1" allowOverlap="1" relativeHeight="2">
                <wp:simplePos x="0" y="0"/>
                <wp:positionH relativeFrom="column">
                  <wp:posOffset>19050</wp:posOffset>
                </wp:positionH>
                <wp:positionV relativeFrom="paragraph">
                  <wp:posOffset>36195</wp:posOffset>
                </wp:positionV>
                <wp:extent cx="3111500" cy="806450"/>
                <wp:effectExtent l="5080" t="5080" r="5080" b="5080"/>
                <wp:wrapNone/>
                <wp:docPr id="3" name="Поле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480" cy="8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66cc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16"/>
                                <w:szCs w:val="16"/>
                              </w:rPr>
                              <w:t xml:space="preserve">Государственное казенное учреждение Ненецкого автономного округа «Отделение социальной защиты населения» </w:t>
                              <w:br/>
                              <w:t>(ГКУ НАО «ОСЗН»)</w:t>
                            </w:r>
                          </w:p>
                          <w:p>
                            <w:pPr>
                              <w:pStyle w:val="Style2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16"/>
                                <w:szCs w:val="16"/>
                              </w:rPr>
                              <w:t>166000, г. Нарьян-Мар, ул. Ленина, 27В</w:t>
                            </w:r>
                          </w:p>
                          <w:p>
                            <w:pPr>
                              <w:pStyle w:val="Style20"/>
                              <w:jc w:val="center"/>
                              <w:rPr>
                                <w:rFonts w:ascii="Times New Roman" w:hAnsi="Times New Roman" w:cs="Times New Roman"/>
                                <w:color w:val="000080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6">
                              <w:r>
                                <w:rPr>
                                  <w:rStyle w:val="Hyperlink"/>
                                  <w:rFonts w:cs="Times New Roman" w:ascii="Times New Roman" w:hAnsi="Times New Roman"/>
                                  <w:sz w:val="18"/>
                                  <w:szCs w:val="18"/>
                                  <w:lang w:val="en-US"/>
                                </w:rPr>
                                <w:t>gkunao</w:t>
                              </w:r>
                              <w:r>
                                <w:rPr>
                                  <w:rStyle w:val="Hyperlink"/>
                                  <w:rFonts w:cs="Times New Roman" w:ascii="Times New Roman" w:hAnsi="Times New Roman"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rStyle w:val="Hyperlink"/>
                                  <w:rFonts w:cs="Times New Roman" w:ascii="Times New Roman" w:hAnsi="Times New Roman"/>
                                  <w:sz w:val="18"/>
                                  <w:szCs w:val="18"/>
                                  <w:lang w:val="en-US"/>
                                </w:rPr>
                                <w:t>oszn</w:t>
                              </w:r>
                              <w:r>
                                <w:rPr>
                                  <w:rStyle w:val="Hyperlink"/>
                                  <w:rFonts w:cs="Times New Roman" w:ascii="Times New Roman" w:hAnsi="Times New Roman"/>
                                  <w:sz w:val="18"/>
                                  <w:szCs w:val="18"/>
                                </w:rPr>
                                <w:t>@</w:t>
                              </w:r>
                              <w:r>
                                <w:rPr>
                                  <w:rStyle w:val="Hyperlink"/>
                                  <w:rFonts w:cs="Times New Roman" w:ascii="Times New Roman" w:hAnsi="Times New Roman"/>
                                  <w:sz w:val="18"/>
                                  <w:szCs w:val="18"/>
                                  <w:lang w:val="en-US"/>
                                </w:rPr>
                                <w:t>mail</w:t>
                              </w:r>
                              <w:r>
                                <w:rPr>
                                  <w:rStyle w:val="Hyperlink"/>
                                  <w:rFonts w:cs="Times New Roman" w:ascii="Times New Roman" w:hAnsi="Times New Roman"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rStyle w:val="Hyperlink"/>
                                  <w:rFonts w:cs="Times New Roman" w:ascii="Times New Roman" w:hAnsi="Times New Roman"/>
                                  <w:sz w:val="18"/>
                                  <w:szCs w:val="18"/>
                                  <w:lang w:val="en-US"/>
                                </w:rPr>
                                <w:t>ru</w:t>
                              </w:r>
                            </w:hyperlink>
                          </w:p>
                          <w:p>
                            <w:pPr>
                              <w:pStyle w:val="Style2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8 (81853) 4-84-97,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4-20-46</w:t>
                            </w:r>
                          </w:p>
                        </w:txbxContent>
                      </wps:txbx>
                      <wps:bodyPr lIns="36360" rIns="36360" tIns="36360" bIns="3636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4" path="m0,0l-2147483645,0l-2147483645,-2147483646l0,-2147483646xe" fillcolor="white" stroked="t" o:allowincell="f" style="position:absolute;margin-left:1.5pt;margin-top:2.85pt;width:244.95pt;height:63.45pt;mso-wrap-style:square;v-text-anchor:top">
                <v:fill o:detectmouseclick="t" type="solid" color2="black"/>
                <v:stroke color="#66ccff" weight="9360" joinstyle="miter" endcap="flat"/>
                <v:textbox>
                  <w:txbxContent>
                    <w:p>
                      <w:pPr>
                        <w:pStyle w:val="Style20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sz w:val="16"/>
                          <w:szCs w:val="16"/>
                        </w:rPr>
                        <w:t xml:space="preserve">Государственное казенное учреждение Ненецкого автономного округа «Отделение социальной защиты населения» </w:t>
                        <w:br/>
                        <w:t>(ГКУ НАО «ОСЗН»)</w:t>
                      </w:r>
                    </w:p>
                    <w:p>
                      <w:pPr>
                        <w:pStyle w:val="Style2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cs="Times New Roman" w:ascii="Times New Roman" w:hAnsi="Times New Roman"/>
                          <w:sz w:val="16"/>
                          <w:szCs w:val="16"/>
                        </w:rPr>
                        <w:t>166000, г. Нарьян-Мар, ул. Ленина, 27В</w:t>
                      </w:r>
                    </w:p>
                    <w:p>
                      <w:pPr>
                        <w:pStyle w:val="Style20"/>
                        <w:jc w:val="center"/>
                        <w:rPr>
                          <w:rFonts w:ascii="Times New Roman" w:hAnsi="Times New Roman" w:cs="Times New Roman"/>
                          <w:color w:val="000080"/>
                          <w:sz w:val="18"/>
                          <w:szCs w:val="18"/>
                          <w:u w:val="single"/>
                        </w:rPr>
                      </w:pPr>
                      <w:hyperlink r:id="rId7">
                        <w:r>
                          <w:rPr>
                            <w:rStyle w:val="Hyperlink"/>
                            <w:rFonts w:cs="Times New Roman" w:ascii="Times New Roman" w:hAnsi="Times New Roman"/>
                            <w:sz w:val="18"/>
                            <w:szCs w:val="18"/>
                            <w:lang w:val="en-US"/>
                          </w:rPr>
                          <w:t>gkunao</w:t>
                        </w:r>
                        <w:r>
                          <w:rPr>
                            <w:rStyle w:val="Hyperlink"/>
                            <w:rFonts w:cs="Times New Roman" w:ascii="Times New Roman" w:hAnsi="Times New Roman"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rStyle w:val="Hyperlink"/>
                            <w:rFonts w:cs="Times New Roman" w:ascii="Times New Roman" w:hAnsi="Times New Roman"/>
                            <w:sz w:val="18"/>
                            <w:szCs w:val="18"/>
                            <w:lang w:val="en-US"/>
                          </w:rPr>
                          <w:t>oszn</w:t>
                        </w:r>
                        <w:r>
                          <w:rPr>
                            <w:rStyle w:val="Hyperlink"/>
                            <w:rFonts w:cs="Times New Roman" w:ascii="Times New Roman" w:hAnsi="Times New Roman"/>
                            <w:sz w:val="18"/>
                            <w:szCs w:val="18"/>
                          </w:rPr>
                          <w:t>@</w:t>
                        </w:r>
                        <w:r>
                          <w:rPr>
                            <w:rStyle w:val="Hyperlink"/>
                            <w:rFonts w:cs="Times New Roman" w:ascii="Times New Roman" w:hAnsi="Times New Roman"/>
                            <w:sz w:val="18"/>
                            <w:szCs w:val="18"/>
                            <w:lang w:val="en-US"/>
                          </w:rPr>
                          <w:t>mail</w:t>
                        </w:r>
                        <w:r>
                          <w:rPr>
                            <w:rStyle w:val="Hyperlink"/>
                            <w:rFonts w:cs="Times New Roman" w:ascii="Times New Roman" w:hAnsi="Times New Roman"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rStyle w:val="Hyperlink"/>
                            <w:rFonts w:cs="Times New Roman" w:ascii="Times New Roman" w:hAnsi="Times New Roman"/>
                            <w:sz w:val="18"/>
                            <w:szCs w:val="18"/>
                            <w:lang w:val="en-US"/>
                          </w:rPr>
                          <w:t>ru</w:t>
                        </w:r>
                      </w:hyperlink>
                    </w:p>
                    <w:p>
                      <w:pPr>
                        <w:pStyle w:val="Style2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8 (81853) 4-84-97, </w:t>
                      </w:r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4-20-46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ListParagraph"/>
        <w:ind w:left="45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</w:r>
    </w:p>
    <w:p>
      <w:pPr>
        <w:pStyle w:val="ListParagraph"/>
        <w:ind w:left="454"/>
        <w:jc w:val="both"/>
        <w:rPr/>
      </w:pPr>
      <w:r>
        <w:rPr/>
        <w:t> </w:t>
      </w:r>
    </w:p>
    <w:p>
      <w:pPr>
        <w:pStyle w:val="ListParagraph"/>
        <w:ind w:firstLine="2240" w:left="454"/>
        <w:jc w:val="both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color w:val="0033CC"/>
          <w:sz w:val="16"/>
          <w:szCs w:val="16"/>
        </w:rPr>
      </w:pPr>
      <w:r>
        <w:rPr>
          <w:rFonts w:eastAsia="Times New Roman" w:cs="Times New Roman" w:ascii="Times New Roman" w:hAnsi="Times New Roman"/>
          <w:b/>
          <w:color w:val="0033CC"/>
          <w:sz w:val="16"/>
          <w:szCs w:val="16"/>
        </w:rPr>
        <w:t xml:space="preserve">Департамент труда и социальной защиты населения 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color w:val="0033CC"/>
          <w:sz w:val="16"/>
          <w:szCs w:val="16"/>
        </w:rPr>
      </w:pPr>
      <w:r>
        <w:rPr>
          <w:rFonts w:eastAsia="Times New Roman" w:cs="Times New Roman" w:ascii="Times New Roman" w:hAnsi="Times New Roman"/>
          <w:b/>
          <w:color w:val="0033CC"/>
          <w:sz w:val="16"/>
          <w:szCs w:val="16"/>
        </w:rPr>
        <w:t>Ненецкого автономного округа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color w:val="0033CC"/>
          <w:sz w:val="16"/>
          <w:szCs w:val="16"/>
        </w:rPr>
      </w:pPr>
      <w:r>
        <w:rPr>
          <w:rFonts w:eastAsia="Times New Roman" w:cs="Times New Roman" w:ascii="Times New Roman" w:hAnsi="Times New Roman"/>
          <w:b/>
          <w:color w:val="0033CC"/>
          <w:sz w:val="16"/>
          <w:szCs w:val="16"/>
        </w:rPr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color w:val="0033CC"/>
          <w:sz w:val="16"/>
          <w:szCs w:val="16"/>
        </w:rPr>
      </w:pPr>
      <w:r>
        <w:rPr>
          <w:rFonts w:eastAsia="Times New Roman" w:cs="Times New Roman" w:ascii="Times New Roman" w:hAnsi="Times New Roman"/>
          <w:b/>
          <w:color w:val="0033CC"/>
          <w:sz w:val="16"/>
          <w:szCs w:val="16"/>
        </w:rPr>
        <w:t>202</w:t>
      </w:r>
      <w:r>
        <w:rPr>
          <w:rFonts w:eastAsia="Times New Roman" w:cs="Times New Roman" w:ascii="Times New Roman" w:hAnsi="Times New Roman"/>
          <w:b/>
          <w:color w:val="0033CC"/>
          <w:sz w:val="16"/>
          <w:szCs w:val="16"/>
        </w:rPr>
        <w:t xml:space="preserve">6 </w:t>
      </w:r>
      <w:r>
        <w:rPr>
          <w:rFonts w:eastAsia="Times New Roman" w:cs="Times New Roman" w:ascii="Times New Roman" w:hAnsi="Times New Roman"/>
          <w:b/>
          <w:color w:val="0033CC"/>
          <w:sz w:val="16"/>
          <w:szCs w:val="16"/>
        </w:rPr>
        <w:t>год</w:t>
      </w:r>
    </w:p>
    <w:sectPr>
      <w:type w:val="continuous"/>
      <w:pgSz w:orient="landscape" w:w="16838" w:h="11906"/>
      <w:pgMar w:left="426" w:right="567" w:gutter="0" w:header="0" w:top="568" w:footer="0" w:bottom="567"/>
      <w:cols w:num="3" w:space="708" w:equalWidth="true" w:sep="false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Georgia">
    <w:charset w:val="01"/>
    <w:family w:val="roman"/>
    <w:pitch w:val="default"/>
  </w:font>
  <w:font w:name="Courier New">
    <w:charset w:val="01"/>
    <w:family w:val="roman"/>
    <w:pitch w:val="default"/>
  </w:font>
  <w:font w:name="Tahoma">
    <w:charset w:val="01"/>
    <w:family w:val="roman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"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1"/>
    <w:lvlOverride w:ilvl="0">
      <w:startOverride w:val="1"/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0"/>
          </w:tabs>
          <w:ind w:left="1440" w:hanging="360"/>
        </w:pPr>
        <w:rPr/>
      </w:lvl>
    </w:lvlOverride>
    <w:lvlOverride w:ilvl="1">
      <w:startOverride w:val="1"/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0"/>
          </w:tabs>
          <w:ind w:left="2160" w:hanging="180"/>
        </w:pPr>
        <w:rPr/>
      </w:lvl>
    </w:lvlOverride>
    <w:lvlOverride w:ilvl="2">
      <w:startOverride w:val="1"/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0"/>
          </w:tabs>
          <w:ind w:left="2880" w:hanging="360"/>
        </w:pPr>
        <w:rPr/>
      </w:lvl>
    </w:lvlOverride>
    <w:lvlOverride w:ilvl="3">
      <w:startOverride w:val="1"/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0"/>
          </w:tabs>
          <w:ind w:left="3600" w:hanging="360"/>
        </w:pPr>
        <w:rPr/>
      </w:lvl>
    </w:lvlOverride>
    <w:lvlOverride w:ilvl="4">
      <w:startOverride w:val="1"/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0"/>
          </w:tabs>
          <w:ind w:left="4320" w:hanging="180"/>
        </w:pPr>
        <w:rPr/>
      </w:lvl>
    </w:lvlOverride>
    <w:lvlOverride w:ilvl="5">
      <w:startOverride w:val="1"/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0"/>
          </w:tabs>
          <w:ind w:left="5040" w:hanging="360"/>
        </w:pPr>
        <w:rPr/>
      </w:lvl>
    </w:lvlOverride>
    <w:lvlOverride w:ilvl="6">
      <w:startOverride w:val="1"/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0"/>
          </w:tabs>
          <w:ind w:left="5760" w:hanging="360"/>
        </w:pPr>
        <w:rPr/>
      </w:lvl>
    </w:lvlOverride>
    <w:lvlOverride w:ilvl="7">
      <w:startOverride w:val="1"/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0"/>
          </w:tabs>
          <w:ind w:left="6480" w:hanging="180"/>
        </w:pPr>
        <w:rPr/>
      </w:lvl>
    </w:lvlOverride>
  </w:num>
  <w:num w:numId="6">
    <w:abstractNumId w:val="1"/>
    <w:lvlOverride w:ilvl="0">
      <w:startOverride w:val="1"/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0"/>
          </w:tabs>
          <w:ind w:left="1440" w:hanging="360"/>
        </w:pPr>
        <w:rPr/>
      </w:lvl>
    </w:lvlOverride>
    <w:lvlOverride w:ilvl="1">
      <w:startOverride w:val="1"/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0"/>
          </w:tabs>
          <w:ind w:left="2160" w:hanging="180"/>
        </w:pPr>
        <w:rPr/>
      </w:lvl>
    </w:lvlOverride>
    <w:lvlOverride w:ilvl="2">
      <w:startOverride w:val="1"/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0"/>
          </w:tabs>
          <w:ind w:left="2880" w:hanging="360"/>
        </w:pPr>
        <w:rPr/>
      </w:lvl>
    </w:lvlOverride>
    <w:lvlOverride w:ilvl="3">
      <w:startOverride w:val="1"/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0"/>
          </w:tabs>
          <w:ind w:left="3600" w:hanging="360"/>
        </w:pPr>
        <w:rPr/>
      </w:lvl>
    </w:lvlOverride>
    <w:lvlOverride w:ilvl="4">
      <w:startOverride w:val="1"/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0"/>
          </w:tabs>
          <w:ind w:left="4320" w:hanging="180"/>
        </w:pPr>
        <w:rPr/>
      </w:lvl>
    </w:lvlOverride>
    <w:lvlOverride w:ilvl="5">
      <w:startOverride w:val="1"/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0"/>
          </w:tabs>
          <w:ind w:left="5040" w:hanging="360"/>
        </w:pPr>
        <w:rPr/>
      </w:lvl>
    </w:lvlOverride>
    <w:lvlOverride w:ilvl="6">
      <w:startOverride w:val="1"/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0"/>
          </w:tabs>
          <w:ind w:left="5760" w:hanging="360"/>
        </w:pPr>
        <w:rPr/>
      </w:lvl>
    </w:lvlOverride>
    <w:lvlOverride w:ilvl="7">
      <w:startOverride w:val="1"/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0"/>
          </w:tabs>
          <w:ind w:left="6480" w:hanging="180"/>
        </w:pPr>
        <w:rPr/>
      </w:lvl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7113b"/>
    <w:pPr>
      <w:widowControl w:val="false"/>
      <w:bidi w:val="0"/>
      <w:spacing w:before="0" w:after="0"/>
      <w:jc w:val="left"/>
    </w:pPr>
    <w:rPr>
      <w:rFonts w:ascii="Georgia" w:hAnsi="Georgia" w:eastAsia="" w:eastAsiaTheme="minorEastAsia" w:cs=""/>
      <w:color w:val="auto"/>
      <w:kern w:val="0"/>
      <w:sz w:val="24"/>
      <w:szCs w:val="24"/>
      <w:lang w:eastAsia="ru-RU" w:val="ru-RU" w:bidi="ar-SA"/>
    </w:rPr>
  </w:style>
  <w:style w:type="paragraph" w:styleId="Heading4">
    <w:name w:val="Heading 4"/>
    <w:link w:val="4"/>
    <w:uiPriority w:val="9"/>
    <w:qFormat/>
    <w:rsid w:val="00a7592f"/>
    <w:pPr>
      <w:widowControl/>
      <w:bidi w:val="0"/>
      <w:spacing w:before="0" w:after="160"/>
      <w:jc w:val="center"/>
      <w:outlineLvl w:val="3"/>
    </w:pPr>
    <w:rPr>
      <w:rFonts w:ascii="Courier New" w:hAnsi="Courier New" w:eastAsia="Times New Roman" w:cs="Courier New"/>
      <w:b/>
      <w:bCs/>
      <w:caps/>
      <w:color w:val="000000"/>
      <w:spacing w:val="50"/>
      <w:kern w:val="2"/>
      <w:sz w:val="16"/>
      <w:szCs w:val="16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641fa7"/>
    <w:rPr>
      <w:rFonts w:ascii="Tahoma" w:hAnsi="Tahoma" w:eastAsia="" w:cs="Tahoma" w:eastAsiaTheme="minorEastAsia"/>
      <w:sz w:val="16"/>
      <w:szCs w:val="16"/>
      <w:lang w:eastAsia="ru-RU"/>
    </w:rPr>
  </w:style>
  <w:style w:type="character" w:styleId="4" w:customStyle="1">
    <w:name w:val="Заголовок 4 Знак"/>
    <w:basedOn w:val="DefaultParagraphFont"/>
    <w:uiPriority w:val="9"/>
    <w:qFormat/>
    <w:rsid w:val="00a7592f"/>
    <w:rPr>
      <w:rFonts w:ascii="Courier New" w:hAnsi="Courier New" w:eastAsia="Times New Roman" w:cs="Courier New"/>
      <w:b/>
      <w:bCs/>
      <w:caps/>
      <w:color w:val="000000"/>
      <w:spacing w:val="50"/>
      <w:kern w:val="2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unhideWhenUsed/>
    <w:rsid w:val="00a7592f"/>
    <w:rPr>
      <w:color w:val="000080"/>
      <w:u w:val="single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7a7a47"/>
    <w:rPr>
      <w:rFonts w:ascii="Georgia" w:hAnsi="Georgia" w:eastAsia="" w:eastAsiaTheme="minorEastAsia"/>
      <w:sz w:val="24"/>
      <w:szCs w:val="24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7a7a47"/>
    <w:rPr>
      <w:rFonts w:ascii="Georgia" w:hAnsi="Georgia" w:eastAsia="" w:eastAsiaTheme="minorEastAsia"/>
      <w:sz w:val="24"/>
      <w:szCs w:val="24"/>
      <w:lang w:eastAsia="ru-RU"/>
    </w:rPr>
  </w:style>
  <w:style w:type="character" w:styleId="Style16" w:customStyle="1">
    <w:name w:val="Название Знак"/>
    <w:basedOn w:val="DefaultParagraphFont"/>
    <w:uiPriority w:val="10"/>
    <w:qFormat/>
    <w:rsid w:val="006b1bb6"/>
    <w:rPr>
      <w:rFonts w:ascii="Cambria" w:hAnsi="Cambria" w:eastAsia="" w:cs="" w:asciiTheme="majorHAnsi" w:cstheme="majorBidi" w:eastAsiaTheme="majorEastAsia" w:hAnsiTheme="majorHAnsi"/>
      <w:spacing w:val="-10"/>
      <w:kern w:val="2"/>
      <w:sz w:val="56"/>
      <w:szCs w:val="56"/>
      <w:lang w:eastAsia="ru-RU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61" w:customStyle="1">
    <w:name w:val="Style6"/>
    <w:basedOn w:val="Normal"/>
    <w:uiPriority w:val="99"/>
    <w:qFormat/>
    <w:rsid w:val="0067113b"/>
    <w:pPr>
      <w:spacing w:lineRule="exact" w:line="226"/>
      <w:jc w:val="both"/>
    </w:pPr>
    <w:rPr/>
  </w:style>
  <w:style w:type="paragraph" w:styleId="ListParagraph">
    <w:name w:val="List Paragraph"/>
    <w:basedOn w:val="Normal"/>
    <w:uiPriority w:val="34"/>
    <w:qFormat/>
    <w:rsid w:val="00d55e2b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641fa7"/>
    <w:pPr/>
    <w:rPr>
      <w:rFonts w:ascii="Tahoma" w:hAnsi="Tahoma" w:cs="Tahoma"/>
      <w:sz w:val="16"/>
      <w:szCs w:val="16"/>
    </w:rPr>
  </w:style>
  <w:style w:type="paragraph" w:styleId="Style111" w:customStyle="1">
    <w:name w:val="Style11"/>
    <w:basedOn w:val="Normal"/>
    <w:qFormat/>
    <w:rsid w:val="00a7592f"/>
    <w:pPr>
      <w:widowControl/>
      <w:spacing w:lineRule="exact" w:line="227"/>
    </w:pPr>
    <w:rPr>
      <w:rFonts w:eastAsia="Times New Roman" w:cs="Times New Roman"/>
      <w:color w:val="000000"/>
      <w:kern w:val="2"/>
    </w:rPr>
  </w:style>
  <w:style w:type="paragraph" w:styleId="Msoorganizationname2" w:customStyle="1">
    <w:name w:val="msoorganizationname2"/>
    <w:qFormat/>
    <w:rsid w:val="00e630d5"/>
    <w:pPr>
      <w:widowControl/>
      <w:bidi w:val="0"/>
      <w:spacing w:before="0" w:after="0"/>
      <w:jc w:val="center"/>
    </w:pPr>
    <w:rPr>
      <w:rFonts w:ascii="Courier New" w:hAnsi="Courier New" w:eastAsia="Times New Roman" w:cs="Courier New"/>
      <w:b/>
      <w:bCs/>
      <w:caps/>
      <w:color w:val="000000"/>
      <w:spacing w:val="50"/>
      <w:kern w:val="2"/>
      <w:sz w:val="16"/>
      <w:szCs w:val="16"/>
      <w:lang w:eastAsia="ru-RU" w:val="ru-RU" w:bidi="ar-SA"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7a7a4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7a7a4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Title">
    <w:name w:val="Title"/>
    <w:basedOn w:val="Normal"/>
    <w:next w:val="Normal"/>
    <w:link w:val="Style16"/>
    <w:uiPriority w:val="10"/>
    <w:qFormat/>
    <w:rsid w:val="006b1bb6"/>
    <w:pPr>
      <w:spacing w:before="0" w:after="0"/>
      <w:contextualSpacing/>
    </w:pPr>
    <w:rPr>
      <w:rFonts w:ascii="Cambria" w:hAnsi="Cambria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tyle20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7113b"/>
    <w:pPr>
      <w:jc w:val="lef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../../../../../../T:/&#1055;&#1040;&#1053;&#1045;&#1042;&#1040;%20&#1058;&#1052;/&#1087;&#1086;&#1088;&#1103;&#1076;&#1086;&#1082;%20&#1087;&#1086;%20&#1082;&#1086;&#1084;&#1087;&#1077;&#1085;&#1089;&#1072;&#1094;&#1080;&#1080;%20&#1082;%20&#1091;&#1095;&#1077;&#1073;&#1085;&#1086;&#1084;&#1091;%20&#1075;&#1086;&#1076;&#1091;/&#1087;&#1086;&#1088;&#1103;&#1076;&#1086;&#1082;%20&#1087;&#1086;%20&#1082;&#1086;&#1084;&#1087;&#1077;&#1085;&#1089;&#1072;&#1094;&#1080;&#1080;%20&#1089;&#1086;&#1094;.%20&#1074;&#1099;&#1087;&#1083;&#1072;&#1090;.rtf" TargetMode="External"/><Relationship Id="rId4" Type="http://schemas.openxmlformats.org/officeDocument/2006/relationships/hyperlink" Target="../../../../../../T:/&#1055;&#1040;&#1053;&#1045;&#1042;&#1040;%20&#1058;&#1052;/&#1087;&#1086;&#1088;&#1103;&#1076;&#1086;&#1082;%20&#1087;&#1086;%20&#1082;&#1086;&#1084;&#1087;&#1077;&#1085;&#1089;&#1072;&#1094;&#1080;&#1080;%20&#1082;%20&#1091;&#1095;&#1077;&#1073;&#1085;&#1086;&#1084;&#1091;%20&#1075;&#1086;&#1076;&#1091;/&#1087;&#1086;&#1088;&#1103;&#1076;&#1086;&#1082;%20&#1087;&#1086;%20&#1082;&#1086;&#1084;&#1087;&#1077;&#1085;&#1089;&#1072;&#1094;&#1080;&#1080;%20&#1089;&#1086;&#1094;.%20&#1074;&#1099;&#1087;&#1083;&#1072;&#1090;.rtf" TargetMode="External"/><Relationship Id="rId5" Type="http://schemas.openxmlformats.org/officeDocument/2006/relationships/hyperlink" Target="consultantplus://offline/ref=0113DA0528D469F108C66B889739388BF1A908391E0E3B76AB7CCD8C7AD51188593D0C05629EF886662F79F8D256A20172093645438F229FD5D3B4U8DFH" TargetMode="External"/><Relationship Id="rId6" Type="http://schemas.openxmlformats.org/officeDocument/2006/relationships/hyperlink" Target="mailto:gkunao.oszn@mail.ru" TargetMode="External"/><Relationship Id="rId7" Type="http://schemas.openxmlformats.org/officeDocument/2006/relationships/hyperlink" Target="mailto:gkunao.oszn@mail.ru" TargetMode="Externa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423FC-64E3-4861-9DF1-79E6203E7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Application>LibreOffice/7.6.7.2$Linux_X86_64 LibreOffice_project/60$Build-2</Application>
  <AppVersion>15.0000</AppVersion>
  <Pages>1</Pages>
  <Words>747</Words>
  <Characters>5568</Characters>
  <CharactersWithSpaces>6275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2021-09-16T08:09:00Z</dcterms:created>
  <dc:creator>Канева Светлана Юрьевна</dc:creator>
  <dc:description/>
  <dc:language>ru-RU</dc:language>
  <cp:lastModifiedBy/>
  <cp:lastPrinted>2017-12-05T13:28:00Z</cp:lastPrinted>
  <dcterms:modified xsi:type="dcterms:W3CDTF">2026-07-10T17:38:57Z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