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drawing>
          <wp:anchor behindDoc="0" distT="0" distB="0" distL="114300" distR="114300" simplePos="0" locked="0" layoutInCell="0" allowOverlap="1" relativeHeight="6">
            <wp:simplePos x="0" y="0"/>
            <wp:positionH relativeFrom="margin">
              <wp:posOffset>714375</wp:posOffset>
            </wp:positionH>
            <wp:positionV relativeFrom="margin">
              <wp:posOffset>-114935</wp:posOffset>
            </wp:positionV>
            <wp:extent cx="1689100" cy="1675130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a3"/>
        <w:tblW w:w="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786"/>
      </w:tblGrid>
      <w:tr>
        <w:trPr/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lang w:val="ru-RU" w:bidi="ar-SA"/>
              </w:rPr>
              <w:t>Государственная программа</w:t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lang w:val="ru-RU" w:bidi="ar-SA"/>
              </w:rPr>
              <w:t>Ненецкого автономного округа</w:t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lang w:val="ru-RU" w:bidi="ar-SA"/>
              </w:rPr>
              <w:t>«Оказание содействия добровольному переселению в Ненецкий автономный округ</w:t>
            </w:r>
            <w:r>
              <w:rPr>
                <w:rFonts w:cs=""/>
                <w:kern w:val="0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33CC"/>
                <w:kern w:val="0"/>
                <w:lang w:val="ru-RU" w:bidi="ar-SA"/>
              </w:rPr>
              <w:t xml:space="preserve">соотечественников, </w:t>
            </w:r>
          </w:p>
          <w:p>
            <w:pPr>
              <w:pStyle w:val="Style61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lang w:val="ru-RU" w:bidi="ar-SA"/>
              </w:rPr>
              <w:t>проживающих за рубежом»</w:t>
            </w:r>
          </w:p>
        </w:tc>
      </w:tr>
    </w:tbl>
    <w:p>
      <w:pPr>
        <w:pStyle w:val="Style61"/>
        <w:widowControl/>
        <w:spacing w:lineRule="auto" w:line="240"/>
        <w:jc w:val="center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p>
      <w:pPr>
        <w:pStyle w:val="Style61"/>
        <w:widowControl/>
        <w:spacing w:lineRule="auto" w:line="240"/>
        <w:jc w:val="center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tbl>
      <w:tblPr>
        <w:tblStyle w:val="a3"/>
        <w:tblW w:w="4394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94"/>
      </w:tblGrid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61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Финансовая поддержка</w:t>
            </w:r>
          </w:p>
          <w:p>
            <w:pPr>
              <w:pStyle w:val="Style61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субъектов малого и среднего предпринимательства, включая создание крестьянских (фермерских) хозяйств</w:t>
            </w:r>
          </w:p>
        </w:tc>
      </w:tr>
    </w:tbl>
    <w:p>
      <w:pPr>
        <w:pStyle w:val="Style61"/>
        <w:widowControl/>
        <w:spacing w:lineRule="auto" w:line="240"/>
        <w:ind w:firstLine="249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Для целей настоящего Порядка под финансовой поддержкой</w:t>
      </w:r>
      <w:r>
        <w:rPr>
          <w:rFonts w:cs="Times New Roman"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субъектам малого и среднего предпринимательства, включая создание крестьянских (фермерских) хозяйств, понимается единовременная выплата на организацию участником Государственной программы собственного дела (далее – финансовая поддержка).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Участник Государственной программы может воспользоваться правом на получение финансовой поддержки однократно.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hyperlink r:id="rId3" w:anchor="Par149" w:tgtFrame=" ЗАЯВЛЕНИЕ">
        <w:r>
          <w:rPr>
            <w:rStyle w:val="Hyperlink"/>
            <w:rFonts w:cs="Times New Roman" w:ascii="Times New Roman" w:hAnsi="Times New Roman"/>
            <w:color w:themeColor="text1" w:val="000000"/>
            <w:sz w:val="22"/>
            <w:szCs w:val="22"/>
            <w:u w:val="none"/>
          </w:rPr>
          <w:t>Заявление</w:t>
        </w:r>
      </w:hyperlink>
      <w:r>
        <w:rPr>
          <w:rFonts w:cs="Times New Roman" w:ascii="Times New Roman" w:hAnsi="Times New Roman"/>
          <w:sz w:val="22"/>
          <w:szCs w:val="22"/>
        </w:rPr>
        <w:t xml:space="preserve"> о предоставлении финансовой поддержки по форме согласно Приложению 6 к Порядку </w:t>
      </w:r>
      <w:r>
        <w:rPr>
          <w:rFonts w:cs="Times New Roman" w:ascii="Times New Roman" w:hAnsi="Times New Roman"/>
          <w:bCs/>
          <w:sz w:val="22"/>
          <w:szCs w:val="22"/>
        </w:rPr>
        <w:t>реализации отдельных мероприятий государственной программы Ненецкого автономного округа «Оказание содействия добровольному переселению в Ненецкий автономный округ соотечественников, проживающих за рубежом»</w:t>
      </w:r>
      <w:r>
        <w:rPr>
          <w:rFonts w:cs="Times New Roman" w:ascii="Times New Roman" w:hAnsi="Times New Roman"/>
          <w:sz w:val="22"/>
          <w:szCs w:val="22"/>
        </w:rPr>
        <w:t xml:space="preserve">, утвержденного постановлением Администрации НАО от 09.02.2021 № 28-п (далее – Порядок) предоставляется в Департамент </w:t>
      </w:r>
      <w:r>
        <w:rPr>
          <w:rFonts w:cs="Times New Roman" w:ascii="Times New Roman" w:hAnsi="Times New Roman"/>
          <w:b/>
          <w:sz w:val="22"/>
          <w:szCs w:val="22"/>
        </w:rPr>
        <w:t>не позднее 36 календарных месяцев со дня получения свидетельства участника Государственной программы</w:t>
      </w:r>
      <w:r>
        <w:rPr>
          <w:rFonts w:cs="Times New Roman" w:ascii="Times New Roman" w:hAnsi="Times New Roman"/>
          <w:sz w:val="22"/>
          <w:szCs w:val="22"/>
        </w:rPr>
        <w:t xml:space="preserve"> на территории Ненецкого автономного округа.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По выбору участника Государственной программы заявление представляется в Департамент на бумажном носителе лично или через законного представителя, или путем направления по почте, либо в форме электронного документа с использованием регионального портала государственных и муниципальных услуг, либо через многофункциональный центр предоставления государственных и муниципальных услуг (далее – МФЦ).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К заявлению участник Государственной программы прилагает следующие документы: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копию документов, удостоверяющих личность участника Государственной программы;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копию свидетельства участника Государственной программы, полученного на территории Ненецкого автономного округа;</w:t>
      </w:r>
    </w:p>
    <w:p>
      <w:pPr>
        <w:pStyle w:val="ListParagraph"/>
        <w:numPr>
          <w:ilvl w:val="0"/>
          <w:numId w:val="1"/>
        </w:numPr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бизнес-план с указанием направлений использования финансовой поддержки.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В случае, если участник Государственной программы не представил по собственной инициативе документ, указанный в подпункте 2 настоящего пункта, Департамент самостоятельно запрашивает документ (его копии или содержащиеся в нем сведения) в рамках межведомственного информационного взаимодействия.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P74"/>
      <w:bookmarkEnd w:id="0"/>
      <w:r>
        <w:rPr>
          <w:rFonts w:cs="Times New Roman" w:ascii="Times New Roman" w:hAnsi="Times New Roman"/>
          <w:sz w:val="22"/>
          <w:szCs w:val="22"/>
        </w:rPr>
        <w:t>Копии представленных участником Государственной программы документов должны быть удостоверены нотариусом или другим должностным лицом, имеющим право совершать нотариальные действия, либо представлены с предъявлением подлинников. Копии документов, представленные с предъявлением подлинника, заверяются специалистом Департамента или специалистом МФЦ, осуществляющим прием документов.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 подаче заявления в форме электронного документа к нему прикрепляются скан-образы документов. При этом заявление и документы заверяются электронной подписью участника Государственной программы.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Для рассмотрения документов создается межведомственная комиссия по реализации Государственной программы (далее – межведомственная комиссия). Положение о межведомственной комиссии и ее состав утверждаются Департаментом. Межведомственная комиссия в течение 5 рабочих дней со дня представления документов участником Государственной программы рассматривает и принимает решение об одобрении (неодобрении) бизнес-плана и предоставлении (отказе в предоставлении) финансовой поддержки. Решение межведомственной комиссии оформляется протоколом заседания комиссии.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 принятии решения об одобрении (неодобрении) бизнес-плана межведомственная комиссия руководствуется следующими критериями: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его значимость на территории Ненецкого автономного округа;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рентабельность;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самоокупаемость.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Основаниями для отказа участнику Государственной программы в предоставлении финансовой поддержки являются: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отсутствие свидетельства участника Государственной </w:t>
      </w:r>
      <w:hyperlink r:id="rId4">
        <w:r>
          <w:rPr>
            <w:rStyle w:val="Hyperlink"/>
            <w:rFonts w:cs="Times New Roman" w:ascii="Times New Roman" w:hAnsi="Times New Roman"/>
            <w:color w:themeColor="text1" w:val="000000"/>
            <w:sz w:val="22"/>
            <w:szCs w:val="22"/>
            <w:u w:val="none"/>
          </w:rPr>
          <w:t>программы</w:t>
        </w:r>
      </w:hyperlink>
      <w:r>
        <w:rPr>
          <w:rFonts w:cs="Times New Roman" w:ascii="Times New Roman" w:hAnsi="Times New Roman"/>
          <w:color w:themeColor="text1" w:val="000000"/>
          <w:sz w:val="22"/>
          <w:szCs w:val="22"/>
        </w:rPr>
        <w:t>,</w:t>
      </w:r>
      <w:r>
        <w:rPr>
          <w:rFonts w:cs="Times New Roman" w:ascii="Times New Roman" w:hAnsi="Times New Roman"/>
          <w:sz w:val="22"/>
          <w:szCs w:val="22"/>
        </w:rPr>
        <w:t xml:space="preserve"> полученного на территории Ненецкого автономного округа;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недостижение гражданином 18-летнего возраста;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отсутствие бизнес-плана, одобренного межведомственной комиссией;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несоблюдение срока, указанного в 3 абзаце;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отсутствие (недостаточность) лимитов бюджетных обязательств на указанные цели.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В случае принятия решения об отказе </w:t>
        <w:br/>
        <w:t xml:space="preserve">в предоставлении финансовой поддержки Департамент не позднее 18 календарных дней </w:t>
        <w:br/>
        <w:t>со дня поступления заявления направляет участнику Государственной программы уведомление об отказе в предоставлении финансовой поддержки с указанием причин отказа.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При устранении причин, послуживших основанием для отказа в предоставлении финансовой поддержки, участник Государственной программы вправе обратиться повторно в Департамент за ее получением в соответствии с условиями, определенными настоящим Порядком.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В течение 3 рабочих дней со дня принятия межведомственной комиссией решения </w:t>
        <w:br/>
        <w:t xml:space="preserve">о предоставлении (непредоставлении) финансовой поддержки Департамент направляет участнику Государственной программы уведомление </w:t>
        <w:br/>
        <w:t>о предоставлении финансовой поддержки либо об отказе в ее предоставлении с указанием причин отказа.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В случае принятия межведомственной комиссией решения о предоставлении финансовой поддержки Департамент в срок не позднее </w:t>
        <w:br/>
        <w:t xml:space="preserve">3 рабочих дней со дня получения участником Государственной программы уведомления </w:t>
        <w:br/>
        <w:t>о предоставлении финансовой поддержки заключает договор с участником Государственной программы, желающим заниматься предпринимательской деятельностью, после заключения указанного договора издает распоряжение о предоставлении ему финансовой поддержки и направляет его в ГКУ НАО «Отделение социальной защиты населения» (далее – ГКУ НАО «ОСЗН»).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Договор заключается сроком на 12 месяцев, предусматривает условия, сроки и порядок перечисления финансовой поддержки Департаментом, условия о целевом расходовании финансовой поддержки, обязательства </w:t>
        <w:br/>
        <w:t xml:space="preserve">по предоставлению отчетных документов </w:t>
        <w:br/>
        <w:t xml:space="preserve">об использовании и обязанность возврата финансовой поддержки в случае ее нецелевого использования, ответственность за нецелевое использование полученной финансовой поддержки, обязанность организовать предпринимательскую деятельность </w:t>
        <w:br/>
        <w:t xml:space="preserve">в соответствии с представленным бизнес-планом </w:t>
        <w:br/>
        <w:t>и осуществлять ее не менее 12 месяцев.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Участник Государственной программы обязан не позднее 15 рабочих дней со дня заключения договора зарегистрировать юридическое лицо, либо зарегистрироваться в качестве индивидуального предпринимателя, зарегистрировать крестьянское (фермерское) хозяйство и уведомить об этом Департамент </w:t>
        <w:br/>
        <w:t>в течение 5 рабочих дней со дня регистрации.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bookmarkStart w:id="1" w:name="P97"/>
      <w:bookmarkEnd w:id="1"/>
      <w:r>
        <w:rPr>
          <w:rFonts w:cs="Times New Roman" w:ascii="Times New Roman" w:hAnsi="Times New Roman"/>
          <w:sz w:val="22"/>
          <w:szCs w:val="22"/>
        </w:rPr>
        <w:t xml:space="preserve">Финансовая поддержка предоставляется участнику Государственной программы </w:t>
      </w:r>
      <w:r>
        <w:rPr>
          <w:rFonts w:cs="Times New Roman" w:ascii="Times New Roman" w:hAnsi="Times New Roman"/>
          <w:b/>
          <w:sz w:val="22"/>
          <w:szCs w:val="22"/>
        </w:rPr>
        <w:t>в размере 182 650 (сто восемьдесят две тысячи шестьсот пятьдесят) рублей</w:t>
      </w:r>
      <w:r>
        <w:rPr>
          <w:rFonts w:cs="Times New Roman" w:ascii="Times New Roman" w:hAnsi="Times New Roman"/>
          <w:sz w:val="22"/>
          <w:szCs w:val="22"/>
        </w:rPr>
        <w:t>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ГКУ НАО «ОСЗН» в течение 10 рабочих дней со дня получения распоряжения Департамента </w:t>
        <w:br/>
        <w:t>о предоставлении финансовой поддержки перечисляет участнику Государственной программы через кредитные организации финансовую поддержку.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Участник Государственной программы, получивший финансовую поддержку, несет ответственность за нецелевое расходование средств финансовой поддержки в соответствии </w:t>
        <w:br/>
        <w:t>с законодательством Российской Федерации.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102"/>
      <w:bookmarkEnd w:id="2"/>
      <w:r>
        <w:rPr>
          <w:rFonts w:cs="Times New Roman" w:ascii="Times New Roman" w:hAnsi="Times New Roman"/>
          <w:sz w:val="22"/>
          <w:szCs w:val="22"/>
        </w:rPr>
        <w:t xml:space="preserve">Участник Государственной программы, получивший финансовую поддержку, обязан представить в Департамент не позднее 6 месяцев со дня получения финансовой </w:t>
      </w:r>
      <w:r>
        <w:rPr>
          <w:rFonts w:cs="Times New Roman" w:ascii="Times New Roman" w:hAnsi="Times New Roman"/>
          <w:color w:themeColor="text1" w:val="000000"/>
          <w:sz w:val="22"/>
          <w:szCs w:val="22"/>
        </w:rPr>
        <w:t xml:space="preserve">поддержки </w:t>
      </w:r>
      <w:r>
        <w:fldChar w:fldCharType="begin"/>
      </w:r>
      <w:r>
        <w:rPr>
          <w:rStyle w:val="Hyperlink"/>
          <w:sz w:val="22"/>
          <w:u w:val="none"/>
          <w:szCs w:val="22"/>
          <w:rFonts w:cs="Times New Roman" w:ascii="Times New Roman" w:hAnsi="Times New Roman"/>
          <w:color w:themeColor="text1" w:val="000000"/>
        </w:rPr>
        <w:instrText xml:space="preserve"> HYPERLINK "../../../../../../T:/%D0%9D%D0%9F%D0%90%20%D0%9E%D0%A2%D0%94%D0%95%D0%9B%D0%90/%D0%9F%D0%9E%D0%A0%D0%AF%D0%94%D0%9E%D0%9A%20%D1%80%D0%B5%D0%B0%D0%BB%D0%B8%D0%B7%D0%B0%D1%86%D0%B8%D0%B8%20%D0%BE%D1%82%D0%B4%D0%B5%D0%BB%D1%8C%D0%BD%D1%8B%D1%85%20%D0%BC%D0%B5%D1%80%D0%BE%D0%BF%D1%80%D0%B8%D1%8F%D1%82%D0%B8%D0%B9%20%D0%BF%D1%80%D0%BE%D0%B3%D1%80%D0%B0%D0%BC%D0%BC%D1%8B/%D0%9D%D0%90%D0%9E/%D0%BF%D0%BE%D1%80%D1%8F%D0%B4%D0%BE%D0%BA%20%D0%BF%D0%BE%20%D1%84%D0%B8%D0%BD%20%D0%BF%D0%BE%D0%B4%D0%B4%D0%B5%D1%80%D0%B6%D0%BA%D0%B5%20%D0%BD%D0%B0%D0%BE.docx" \l "P226"</w:instrText>
      </w:r>
      <w:r>
        <w:rPr>
          <w:rStyle w:val="Hyperlink"/>
          <w:sz w:val="22"/>
          <w:u w:val="none"/>
          <w:szCs w:val="22"/>
          <w:rFonts w:cs="Times New Roman" w:ascii="Times New Roman" w:hAnsi="Times New Roman"/>
          <w:color w:themeColor="text1" w:val="000000"/>
        </w:rPr>
        <w:fldChar w:fldCharType="separate"/>
      </w:r>
      <w:r>
        <w:rPr>
          <w:rStyle w:val="Hyperlink"/>
          <w:rFonts w:cs="Times New Roman" w:ascii="Times New Roman" w:hAnsi="Times New Roman"/>
          <w:color w:themeColor="text1" w:val="000000"/>
          <w:sz w:val="22"/>
          <w:szCs w:val="22"/>
          <w:u w:val="none"/>
        </w:rPr>
        <w:t>отчет</w:t>
      </w:r>
      <w:r>
        <w:rPr>
          <w:rStyle w:val="Hyperlink"/>
          <w:sz w:val="22"/>
          <w:u w:val="none"/>
          <w:szCs w:val="22"/>
          <w:rFonts w:cs="Times New Roman" w:ascii="Times New Roman" w:hAnsi="Times New Roman"/>
          <w:color w:themeColor="text1" w:val="000000"/>
        </w:rPr>
        <w:fldChar w:fldCharType="end"/>
      </w:r>
      <w:r>
        <w:rPr>
          <w:rFonts w:cs="Times New Roman" w:ascii="Times New Roman" w:hAnsi="Times New Roman"/>
          <w:sz w:val="22"/>
          <w:szCs w:val="22"/>
        </w:rPr>
        <w:t xml:space="preserve"> </w:t>
        <w:br/>
        <w:t xml:space="preserve">по форме согласно Приложению 7 к Порядку </w:t>
        <w:br/>
        <w:t>и документы, подтверждающие целевое использование денежных средств (платежные поручения с отметкой банка, товарные и кассовые чеки, счета, накладные, акты выполненных работ, другие финансово-отчетные документы, подтверждающие произведенные расходы).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Департамент в течение 12 месяцев со дня предоставления финансовой поддержки осуществляет контроль за целевым использованием участником Государственной программы полученной финансовой поддержки, </w:t>
        <w:br/>
        <w:t>в том числе посредством выездных проверок факта ведения предпринимательской деятельности с составлением соответствующего акта.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В случае непредставления участником Государственной программы в течение 6 месяцев со дня получения финансовой поддержки </w:t>
        <w:br/>
        <w:t xml:space="preserve">отчетных документов, участник Государственной программы обязан вернуть денежные средства </w:t>
        <w:br/>
        <w:t xml:space="preserve">в окружной бюджет в срок </w:t>
      </w:r>
      <w:r>
        <w:rPr>
          <w:rFonts w:cs="Times New Roman" w:ascii="Times New Roman" w:hAnsi="Times New Roman"/>
          <w:b/>
          <w:sz w:val="22"/>
          <w:szCs w:val="22"/>
        </w:rPr>
        <w:t>не позднее 1 месяца</w:t>
      </w:r>
      <w:r>
        <w:rPr>
          <w:rFonts w:cs="Times New Roman" w:ascii="Times New Roman" w:hAnsi="Times New Roman"/>
          <w:sz w:val="22"/>
          <w:szCs w:val="22"/>
        </w:rPr>
        <w:t xml:space="preserve"> </w:t>
        <w:br/>
        <w:t>со дня окончания срока, предусмотренного абзацем 17.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В случае, если участник Государственной программы, получивший финансовую поддержку решит вернуть полученные средства, с ним заключается дополнительное соглашение </w:t>
        <w:br/>
        <w:t>о расторжении договора.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color w:val="0070C0"/>
          <w:sz w:val="17"/>
          <w:szCs w:val="17"/>
        </w:rPr>
      </w:pPr>
      <w:r>
        <mc:AlternateContent>
          <mc:Choice Requires="wps">
            <w:drawing>
              <wp:anchor behindDoc="0" distT="0" distB="19050" distL="0" distR="10795" simplePos="0" locked="0" layoutInCell="1" allowOverlap="1" relativeHeight="4" wp14:anchorId="06AEB926">
                <wp:simplePos x="0" y="0"/>
                <wp:positionH relativeFrom="column">
                  <wp:posOffset>29210</wp:posOffset>
                </wp:positionH>
                <wp:positionV relativeFrom="paragraph">
                  <wp:posOffset>114935</wp:posOffset>
                </wp:positionV>
                <wp:extent cx="3094990" cy="914400"/>
                <wp:effectExtent l="5080" t="5080" r="5080" b="5080"/>
                <wp:wrapNone/>
                <wp:docPr id="2" name="Поле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Департамент труда и социальной защиты населения </w:t>
                            </w:r>
                          </w:p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Ненецкого автономного округа 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166000, г. Нарьян-Мар, ул. Смидовича, д. 25 (вход со двора)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тел. +7 (81853) 2-13-68</w:t>
                            </w:r>
                            <w:bookmarkStart w:id="3" w:name="_GoBack"/>
                            <w:bookmarkEnd w:id="3"/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>E-mail: dtiszn@adm-nao.ru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Официальный сайт: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rFonts w:ascii="Times New Roman" w:hAnsi="Times New Roman"/>
                                <w:bCs/>
                                <w:sz w:val="16"/>
                                <w:szCs w:val="16"/>
                                <w:lang w:val="en-US"/>
                              </w:rPr>
                              <w:t>https://dtiszn.adm-nao.ru/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6" path="m0,0l-2147483645,0l-2147483645,-2147483646l0,-2147483646xe" fillcolor="white" stroked="t" o:allowincell="f" style="position:absolute;margin-left:2.3pt;margin-top:9.05pt;width:243.65pt;height:71.95pt;mso-wrap-style:square;v-text-anchor:top" wp14:anchorId="06AEB926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Департамент труда и социальной защиты населения </w:t>
                      </w:r>
                    </w:p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Ненецкого автономного округа 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166000, г. Нарьян-Мар, ул. Смидовича, д. 25 (вход со двора)</w:t>
                      </w:r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тел. +7 (81853) 2-13-68</w:t>
                      </w:r>
                      <w:bookmarkStart w:id="4" w:name="_GoBack"/>
                      <w:bookmarkEnd w:id="4"/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en-US"/>
                        </w:rPr>
                        <w:t>E-mail: dtiszn@adm-nao.ru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  <w:t>Официальный сайт: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Style w:val="Hyperlink"/>
                          <w:rFonts w:ascii="Times New Roman" w:hAnsi="Times New Roman"/>
                          <w:bCs/>
                          <w:sz w:val="16"/>
                          <w:szCs w:val="16"/>
                          <w:lang w:val="en-US"/>
                        </w:rPr>
                        <w:t>https://dtiszn.adm-nao.ru/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17"/>
          <w:szCs w:val="17"/>
          <w:u w:val="single"/>
        </w:rPr>
        <w:t>КОНТАКТЫ:</w:t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mc:AlternateContent>
          <mc:Choice Requires="wps">
            <w:drawing>
              <wp:anchor behindDoc="0" distT="0" distB="12700" distL="0" distR="10795" simplePos="0" locked="0" layoutInCell="1" allowOverlap="1" relativeHeight="2">
                <wp:simplePos x="0" y="0"/>
                <wp:positionH relativeFrom="column">
                  <wp:posOffset>29210</wp:posOffset>
                </wp:positionH>
                <wp:positionV relativeFrom="paragraph">
                  <wp:posOffset>36830</wp:posOffset>
                </wp:positionV>
                <wp:extent cx="3094990" cy="806450"/>
                <wp:effectExtent l="5080" t="5080" r="5080" b="5080"/>
                <wp:wrapNone/>
                <wp:docPr id="3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4920" cy="8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sz w:val="16"/>
                                <w:szCs w:val="16"/>
                              </w:rPr>
                              <w:t xml:space="preserve">Государственное казенное учреждение Ненецкого автономного округа «Отделение социальной защиты населения» </w:t>
                              <w:br/>
                              <w:t>(ГКУ НАО «ОСЗН»)</w:t>
                            </w:r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sz w:val="16"/>
                                <w:szCs w:val="16"/>
                              </w:rPr>
                              <w:t>166000, г. Нарьян-Мар, ул. Ленина, 27В</w:t>
                            </w:r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rFonts w:ascii="Times New Roman" w:hAnsi="Times New Roman" w:cs="Times New Roman"/>
                                <w:color w:val="000080"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Style w:val="Hyperlink"/>
                                <w:rFonts w:cs="Times New Roman" w:ascii="Times New Roman" w:hAnsi="Times New Roman"/>
                                <w:sz w:val="16"/>
                                <w:szCs w:val="16"/>
                                <w:lang w:val="en-US"/>
                              </w:rPr>
                              <w:t xml:space="preserve">E-mail: </w:t>
                            </w:r>
                            <w:hyperlink r:id="rId5"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gkunao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oszn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@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>
                            <w:pPr>
                              <w:pStyle w:val="Style2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8 (81853) 4-84-97,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>4-20-46</w:t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t" o:allowincell="f" style="position:absolute;margin-left:2.3pt;margin-top:2.9pt;width:243.65pt;height:63.45pt;mso-wrap-style:square;v-text-anchor:top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sz w:val="16"/>
                          <w:szCs w:val="16"/>
                        </w:rPr>
                        <w:t xml:space="preserve">Государственное казенное учреждение Ненецкого автономного округа «Отделение социальной защиты населения» </w:t>
                        <w:br/>
                        <w:t>(ГКУ НАО «ОСЗН»)</w:t>
                      </w:r>
                    </w:p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sz w:val="16"/>
                          <w:szCs w:val="16"/>
                        </w:rPr>
                        <w:t>166000, г. Нарьян-Мар, ул. Ленина, 27В</w:t>
                      </w:r>
                    </w:p>
                    <w:p>
                      <w:pPr>
                        <w:pStyle w:val="Style20"/>
                        <w:jc w:val="center"/>
                        <w:rPr>
                          <w:rFonts w:ascii="Times New Roman" w:hAnsi="Times New Roman" w:cs="Times New Roman"/>
                          <w:color w:val="000080"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Style w:val="Hyperlink"/>
                          <w:rFonts w:cs="Times New Roman" w:ascii="Times New Roman" w:hAnsi="Times New Roman"/>
                          <w:sz w:val="16"/>
                          <w:szCs w:val="16"/>
                          <w:lang w:val="en-US"/>
                        </w:rPr>
                        <w:t xml:space="preserve">E-mail: </w:t>
                      </w:r>
                      <w:hyperlink r:id="rId6"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gkunao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oszn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@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</w:p>
                    <w:p>
                      <w:pPr>
                        <w:pStyle w:val="Style2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8 (81853) 4-84-97, 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>4-20-46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/>
      </w:pPr>
      <w:r>
        <w:rPr/>
        <w:t> </w:t>
      </w:r>
    </w:p>
    <w:p>
      <w:pPr>
        <w:pStyle w:val="ListParagraph"/>
        <w:ind w:firstLine="2240" w:left="454"/>
        <w:jc w:val="center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ListParagraph"/>
        <w:ind w:firstLine="2240" w:left="454"/>
        <w:jc w:val="center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Департамент труда и социальной защиты населения 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Ненецкого автономного округа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202</w:t>
      </w: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6 </w:t>
      </w: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год</w:t>
      </w:r>
    </w:p>
    <w:sectPr>
      <w:type w:val="continuous"/>
      <w:pgSz w:orient="landscape" w:w="16838" w:h="11906"/>
      <w:pgMar w:left="426" w:right="567" w:gutter="0" w:header="0" w:top="568" w:footer="0" w:bottom="567"/>
      <w:cols w:num="3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Georgia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113b"/>
    <w:pPr>
      <w:widowControl w:val="false"/>
      <w:bidi w:val="0"/>
      <w:spacing w:before="0" w:after="0"/>
      <w:jc w:val="left"/>
    </w:pPr>
    <w:rPr>
      <w:rFonts w:ascii="Georgia" w:hAnsi="Georgia" w:eastAsia="" w:eastAsiaTheme="minorEastAsia" w:cs=""/>
      <w:color w:val="auto"/>
      <w:kern w:val="0"/>
      <w:sz w:val="24"/>
      <w:szCs w:val="24"/>
      <w:lang w:eastAsia="ru-RU" w:val="ru-RU" w:bidi="ar-SA"/>
    </w:rPr>
  </w:style>
  <w:style w:type="paragraph" w:styleId="Heading4">
    <w:name w:val="Heading 4"/>
    <w:link w:val="4"/>
    <w:uiPriority w:val="9"/>
    <w:qFormat/>
    <w:rsid w:val="00a7592f"/>
    <w:pPr>
      <w:widowControl/>
      <w:bidi w:val="0"/>
      <w:spacing w:before="0" w:after="160"/>
      <w:jc w:val="center"/>
      <w:outlineLvl w:val="3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41fa7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sid w:val="00a7592f"/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a7592f"/>
    <w:rPr>
      <w:color w:val="000080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character" w:styleId="Style16" w:customStyle="1">
    <w:name w:val="Название Знак"/>
    <w:basedOn w:val="DefaultParagraphFont"/>
    <w:uiPriority w:val="10"/>
    <w:qFormat/>
    <w:rsid w:val="006b1bb6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61" w:customStyle="1">
    <w:name w:val="Style6"/>
    <w:basedOn w:val="Normal"/>
    <w:uiPriority w:val="99"/>
    <w:qFormat/>
    <w:rsid w:val="0067113b"/>
    <w:pPr>
      <w:spacing w:lineRule="exact" w:line="226"/>
      <w:jc w:val="both"/>
    </w:pPr>
    <w:rPr/>
  </w:style>
  <w:style w:type="paragraph" w:styleId="ListParagraph">
    <w:name w:val="List Paragraph"/>
    <w:basedOn w:val="Normal"/>
    <w:uiPriority w:val="34"/>
    <w:qFormat/>
    <w:rsid w:val="00d55e2b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41fa7"/>
    <w:pPr/>
    <w:rPr>
      <w:rFonts w:ascii="Tahoma" w:hAnsi="Tahoma" w:cs="Tahoma"/>
      <w:sz w:val="16"/>
      <w:szCs w:val="16"/>
    </w:rPr>
  </w:style>
  <w:style w:type="paragraph" w:styleId="Style111" w:customStyle="1">
    <w:name w:val="Style11"/>
    <w:basedOn w:val="Normal"/>
    <w:qFormat/>
    <w:rsid w:val="00a7592f"/>
    <w:pPr>
      <w:widowControl/>
      <w:spacing w:lineRule="exact" w:line="227"/>
    </w:pPr>
    <w:rPr>
      <w:rFonts w:eastAsia="Times New Roman" w:cs="Times New Roman"/>
      <w:color w:val="000000"/>
      <w:kern w:val="2"/>
    </w:rPr>
  </w:style>
  <w:style w:type="paragraph" w:styleId="Msoorganizationname2" w:customStyle="1">
    <w:name w:val="msoorganizationname2"/>
    <w:qFormat/>
    <w:rsid w:val="00e630d5"/>
    <w:pPr>
      <w:widowControl/>
      <w:bidi w:val="0"/>
      <w:spacing w:before="0" w:after="0"/>
      <w:jc w:val="center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 w:val="ru-RU" w:bidi="ar-SA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Title">
    <w:name w:val="Title"/>
    <w:basedOn w:val="Normal"/>
    <w:next w:val="Normal"/>
    <w:link w:val="Style16"/>
    <w:uiPriority w:val="10"/>
    <w:qFormat/>
    <w:rsid w:val="006b1bb6"/>
    <w:pPr>
      <w:spacing w:before="0" w:after="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7113b"/>
    <w:pPr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../../../../../../T:/&#1055;&#1040;&#1053;&#1045;&#1042;&#1040;%20&#1058;&#1052;/&#1087;&#1086;&#1088;&#1103;&#1076;&#1086;&#1082;%20&#1087;&#1086;%20&#1082;&#1086;&#1084;&#1087;&#1077;&#1085;&#1089;&#1072;&#1094;&#1080;&#1080;%20&#1082;%20&#1091;&#1095;&#1077;&#1073;&#1085;&#1086;&#1084;&#1091;%20&#1075;&#1086;&#1076;&#1091;/&#1087;&#1086;&#1088;&#1103;&#1076;&#1086;&#1082;%20&#1087;&#1086;%20&#1082;&#1086;&#1084;&#1087;&#1077;&#1085;&#1089;&#1072;&#1094;&#1080;&#1080;%20&#1089;&#1086;&#1094;.%20&#1074;&#1099;&#1087;&#1083;&#1072;&#1090;.rtf" TargetMode="External"/><Relationship Id="rId4" Type="http://schemas.openxmlformats.org/officeDocument/2006/relationships/hyperlink" Target="consultantplus://offline/ref=C0F805A031D884588B1FBAD286DB448B50DAE2A9EE8275BF5D563AEF6C44A132183CDD5504186078F16CA4D415ACD12FD7115E016E071AECD06E7DSBGCO" TargetMode="External"/><Relationship Id="rId5" Type="http://schemas.openxmlformats.org/officeDocument/2006/relationships/hyperlink" Target="mailto:gkunao.oszn@mail.ru" TargetMode="External"/><Relationship Id="rId6" Type="http://schemas.openxmlformats.org/officeDocument/2006/relationships/hyperlink" Target="mailto:gkunao.oszn@mail.ru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3152-43F9-40F3-B8F4-967064A63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Application>LibreOffice/7.6.7.2$Linux_X86_64 LibreOffice_project/60$Build-2</Application>
  <AppVersion>15.0000</AppVersion>
  <Pages>2</Pages>
  <Words>976</Words>
  <Characters>7777</Characters>
  <CharactersWithSpaces>8726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2021-09-16T08:09:00Z</dcterms:created>
  <dc:creator>Канева Светлана Юрьевна</dc:creator>
  <dc:description/>
  <dc:language>ru-RU</dc:language>
  <cp:lastModifiedBy/>
  <cp:lastPrinted>2022-02-16T12:11:00Z</cp:lastPrinted>
  <dcterms:modified xsi:type="dcterms:W3CDTF">2026-07-10T17:30:04Z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