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eastAsia="Times New Roman" w:cs="Times New Roman"/>
          <w:color w:val="333333"/>
          <w:sz w:val="41"/>
          <w:szCs w:val="45"/>
          <w:lang w:eastAsia="ru-RU"/>
        </w:rPr>
      </w:pPr>
      <w:r>
        <w:rPr>
          <w:rFonts w:eastAsia="Times New Roman" w:cs="Times New Roman"/>
          <w:color w:val="333333"/>
          <w:sz w:val="41"/>
          <w:szCs w:val="45"/>
          <w:lang w:eastAsia="ru-RU"/>
        </w:rPr>
        <w:t xml:space="preserve">Общий отчет о реализации закона Ненецкого автономного округа от 01.07.2011 № 36-оз «О дополнительных мерах государственной поддержки семей, имеющих детей» </w:t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eastAsia="Times New Roman" w:cs="Times New Roman"/>
          <w:color w:val="333333"/>
          <w:sz w:val="41"/>
          <w:szCs w:val="45"/>
          <w:lang w:eastAsia="ru-RU"/>
        </w:rPr>
      </w:pPr>
      <w:r>
        <w:rPr>
          <w:rFonts w:eastAsia="Times New Roman" w:cs="Times New Roman"/>
          <w:color w:val="333333"/>
          <w:sz w:val="41"/>
          <w:szCs w:val="45"/>
          <w:lang w:eastAsia="ru-RU"/>
        </w:rPr>
        <w:t>за период его действия</w:t>
      </w:r>
    </w:p>
    <w:p>
      <w:pPr>
        <w:pStyle w:val="Normal"/>
        <w:numPr>
          <w:ilvl w:val="0"/>
          <w:numId w:val="0"/>
        </w:numPr>
        <w:spacing w:before="150" w:after="150"/>
        <w:ind w:hanging="0" w:left="0"/>
        <w:jc w:val="left"/>
        <w:outlineLvl w:val="3"/>
        <w:rPr>
          <w:rFonts w:eastAsia="Times New Roman" w:cs="Times New Roman"/>
          <w:vanish/>
          <w:szCs w:val="26"/>
          <w:lang w:eastAsia="ru-RU"/>
        </w:rPr>
      </w:pPr>
      <w:r>
        <w:rPr>
          <w:rFonts w:eastAsia="Times New Roman" w:cs="Times New Roman"/>
          <w:vanish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pacing w:before="150" w:after="150"/>
        <w:ind w:hanging="0" w:left="0"/>
        <w:jc w:val="left"/>
        <w:outlineLvl w:val="3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color w:val="333333"/>
          <w:szCs w:val="26"/>
          <w:lang w:eastAsia="ru-RU"/>
        </w:rPr>
        <w:t>Параметры отчета:</w:t>
      </w:r>
    </w:p>
    <w:p>
      <w:pPr>
        <w:pStyle w:val="Normal"/>
        <w:ind w:hanging="0"/>
        <w:jc w:val="left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Cs w:val="26"/>
          <w:lang w:eastAsia="ru-RU"/>
        </w:rPr>
        <w:t xml:space="preserve">Дата начала: </w:t>
      </w:r>
      <w:r>
        <w:rPr>
          <w:rFonts w:eastAsia="Times New Roman" w:cs="Times New Roman"/>
          <w:color w:val="333333"/>
          <w:szCs w:val="26"/>
          <w:lang w:eastAsia="ru-RU"/>
        </w:rPr>
        <w:t>01.11.2011</w:t>
      </w:r>
    </w:p>
    <w:p>
      <w:pPr>
        <w:pStyle w:val="Normal"/>
        <w:ind w:hanging="0"/>
        <w:jc w:val="left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Cs w:val="26"/>
          <w:lang w:eastAsia="ru-RU"/>
        </w:rPr>
        <w:t>Дата окончания:</w:t>
      </w:r>
      <w:r>
        <w:rPr>
          <w:rFonts w:eastAsia="Times New Roman" w:cs="Times New Roman"/>
          <w:bCs/>
          <w:color w:val="333333"/>
          <w:szCs w:val="26"/>
          <w:lang w:eastAsia="ru-RU"/>
        </w:rPr>
        <w:t xml:space="preserve"> </w:t>
      </w:r>
      <w:r>
        <w:rPr>
          <w:rFonts w:eastAsia="Times New Roman" w:cs="Times New Roman"/>
          <w:bCs/>
          <w:color w:val="333333"/>
          <w:szCs w:val="26"/>
          <w:lang w:eastAsia="ru-RU"/>
        </w:rPr>
        <w:t>30.09</w:t>
      </w:r>
      <w:r>
        <w:rPr>
          <w:rFonts w:eastAsia="Times New Roman" w:cs="Times New Roman"/>
          <w:bCs/>
          <w:color w:val="333333"/>
          <w:szCs w:val="26"/>
          <w:lang w:eastAsia="ru-RU"/>
        </w:rPr>
        <w:t>.2026</w:t>
      </w:r>
    </w:p>
    <w:p>
      <w:pPr>
        <w:pStyle w:val="Heading4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 w:val="false"/>
          <w:i w:val="false"/>
          <w:i w:val="false"/>
          <w:caps w:val="false"/>
          <w:smallCaps w:val="false"/>
          <w:color w:val="333333"/>
          <w:spacing w:val="0"/>
          <w:sz w:val="14"/>
          <w:szCs w:val="14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14"/>
          <w:szCs w:val="14"/>
        </w:rPr>
      </w:r>
    </w:p>
    <w:p>
      <w:pPr>
        <w:pStyle w:val="Heading4"/>
        <w:spacing w:lineRule="auto" w:line="240" w:before="0" w:after="0"/>
        <w:ind w:hanging="0"/>
        <w:jc w:val="left"/>
        <w:rPr>
          <w:rFonts w:ascii="Helvetica Neue;Helvetica;Arial;sans-serif" w:hAnsi="Helvetica Neue;Helvetica;Arial;sans-serif"/>
          <w:b/>
          <w:i w:val="false"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bCs/>
          <w:i w:val="false"/>
          <w:caps w:val="false"/>
          <w:smallCaps w:val="false"/>
          <w:color w:val="000000"/>
          <w:spacing w:val="0"/>
          <w:sz w:val="27"/>
        </w:rPr>
        <w:t>Выданные сертификаты за период</w:t>
      </w:r>
    </w:p>
    <w:p>
      <w:pPr>
        <w:pStyle w:val="BodyText"/>
        <w:spacing w:lineRule="auto" w:line="240" w:before="0" w:after="0"/>
        <w:ind w:hanging="0"/>
        <w:jc w:val="left"/>
        <w:rPr>
          <w:rFonts w:ascii="Helvetica Neue;Helvetica;Arial;sans-serif" w:hAnsi="Helvetica Neue;Helvetica;Arial;sans-serif"/>
          <w:b/>
          <w:bCs/>
          <w:color w:val="000000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r>
    </w:p>
    <w:tbl>
      <w:tblPr>
        <w:tblW w:w="10770" w:type="dxa"/>
        <w:jc w:val="left"/>
        <w:tblInd w:w="0" w:type="dxa"/>
        <w:tblLayout w:type="fixed"/>
        <w:tblCellMar>
          <w:top w:w="120" w:type="dxa"/>
          <w:left w:w="0" w:type="dxa"/>
          <w:bottom w:w="0" w:type="dxa"/>
          <w:right w:w="0" w:type="dxa"/>
        </w:tblCellMar>
      </w:tblPr>
      <w:tblGrid>
        <w:gridCol w:w="1861"/>
        <w:gridCol w:w="1544"/>
        <w:gridCol w:w="1920"/>
        <w:gridCol w:w="1935"/>
        <w:gridCol w:w="1815"/>
        <w:gridCol w:w="1695"/>
      </w:tblGrid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544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Количество</w:t>
            </w:r>
          </w:p>
        </w:tc>
        <w:tc>
          <w:tcPr>
            <w:tcW w:w="19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Сумма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 xml:space="preserve">Сумма </w:t>
            </w:r>
          </w:p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 индексацией</w:t>
            </w:r>
          </w:p>
        </w:tc>
        <w:tc>
          <w:tcPr>
            <w:tcW w:w="181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Расход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Остаток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Все сертификаты</w:t>
            </w:r>
          </w:p>
        </w:tc>
        <w:tc>
          <w:tcPr>
            <w:tcW w:w="154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2 830</w:t>
            </w:r>
          </w:p>
        </w:tc>
        <w:tc>
          <w:tcPr>
            <w:tcW w:w="19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1 004 476 266,95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1 043 765 817,63</w:t>
            </w:r>
          </w:p>
        </w:tc>
        <w:tc>
          <w:tcPr>
            <w:tcW w:w="181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775 430 261,25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268 335 556,38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Полностью закрытые сертификаты</w:t>
            </w:r>
          </w:p>
        </w:tc>
        <w:tc>
          <w:tcPr>
            <w:tcW w:w="154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1 685</w:t>
            </w:r>
          </w:p>
        </w:tc>
        <w:tc>
          <w:tcPr>
            <w:tcW w:w="19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589 568 486,08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609 914 562,87</w:t>
            </w:r>
          </w:p>
        </w:tc>
        <w:tc>
          <w:tcPr>
            <w:tcW w:w="181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609 914 562,87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0,00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Частично закрытые сертификаты</w:t>
            </w:r>
          </w:p>
        </w:tc>
        <w:tc>
          <w:tcPr>
            <w:tcW w:w="154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648</w:t>
            </w:r>
          </w:p>
        </w:tc>
        <w:tc>
          <w:tcPr>
            <w:tcW w:w="19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236 849 251,13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248 275 443,60</w:t>
            </w:r>
          </w:p>
        </w:tc>
        <w:tc>
          <w:tcPr>
            <w:tcW w:w="181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165 515 698,38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82 759 745,22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Полностью открытые сертификаты</w:t>
            </w:r>
          </w:p>
        </w:tc>
        <w:tc>
          <w:tcPr>
            <w:tcW w:w="154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497</w:t>
            </w:r>
          </w:p>
        </w:tc>
        <w:tc>
          <w:tcPr>
            <w:tcW w:w="19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178 058 529,74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185 575 811,16</w:t>
            </w:r>
          </w:p>
        </w:tc>
        <w:tc>
          <w:tcPr>
            <w:tcW w:w="181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0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/>
              <w:jc w:val="center"/>
              <w:rPr/>
            </w:pPr>
            <w:r>
              <w:rPr/>
              <w:t>185 575 811,16</w:t>
            </w:r>
          </w:p>
        </w:tc>
      </w:tr>
    </w:tbl>
    <w:p>
      <w:pPr>
        <w:pStyle w:val="Heading4"/>
        <w:widowControl/>
        <w:spacing w:lineRule="auto" w:line="240" w:before="0" w:after="0"/>
        <w:ind w:hanging="0" w:left="0" w:right="0"/>
        <w:jc w:val="center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r>
    </w:p>
    <w:p>
      <w:pPr>
        <w:pStyle w:val="Heading4"/>
        <w:widowControl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  <w:t>Распоряжение материнским капиталом за период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r>
    </w:p>
    <w:tbl>
      <w:tblPr>
        <w:tblW w:w="10466" w:type="dxa"/>
        <w:jc w:val="left"/>
        <w:tblInd w:w="0" w:type="dxa"/>
        <w:tblLayout w:type="fixed"/>
        <w:tblCellMar>
          <w:top w:w="120" w:type="dxa"/>
          <w:left w:w="0" w:type="dxa"/>
          <w:bottom w:w="0" w:type="dxa"/>
          <w:right w:w="0" w:type="dxa"/>
        </w:tblCellMar>
      </w:tblPr>
      <w:tblGrid>
        <w:gridCol w:w="5790"/>
        <w:gridCol w:w="2310"/>
        <w:gridCol w:w="2366"/>
      </w:tblGrid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Распоряжений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Сумма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Улучшение жилищных условий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923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239 265 608,85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Получение образования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113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7 490 166,45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Получение медицинской помощи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655 768,30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Возмещение расходов на приобретение товаров длительного пользования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2 050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189 748 506,69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транспортного средства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855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281 622 656,17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Развитие личного подсобного хозяйства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60 000,00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(строительство) гаража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69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23 534 979,18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(строительство) бани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10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2 675 023,00</w:t>
            </w:r>
          </w:p>
        </w:tc>
      </w:tr>
      <w:tr>
        <w:trPr/>
        <w:tc>
          <w:tcPr>
            <w:tcW w:w="579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Единовременная выплата</w:t>
            </w:r>
          </w:p>
        </w:tc>
        <w:tc>
          <w:tcPr>
            <w:tcW w:w="231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1 320</w:t>
            </w:r>
          </w:p>
        </w:tc>
        <w:tc>
          <w:tcPr>
            <w:tcW w:w="2366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/>
              <w:jc w:val="center"/>
              <w:rPr/>
            </w:pPr>
            <w:r>
              <w:rPr/>
              <w:t>30 138 323,20</w:t>
            </w:r>
          </w:p>
        </w:tc>
      </w:tr>
    </w:tbl>
    <w:p>
      <w:pPr>
        <w:pStyle w:val="BodyText"/>
        <w:spacing w:lineRule="auto" w:line="240" w:before="0" w:after="0"/>
        <w:ind w:hanging="0"/>
        <w:jc w:val="center"/>
        <w:rPr>
          <w:rFonts w:ascii="Helvetica Neue;Helvetica;Arial;sans-serif" w:hAnsi="Helvetica Neue;Helvetica;Arial;sans-serif"/>
          <w:b w:val="false"/>
          <w:i w:val="false"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7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Helvetica Neue">
    <w:altName w:val="Helvetica"/>
    <w:charset w:val="01"/>
    <w:family w:val="roman"/>
    <w:pitch w:val="default"/>
  </w:font>
  <w:font w:name="Helvetica Neue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Адреса1.dbo.Лист1$"/>
  </w:mailMerge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Helvetica" w:eastAsiaTheme="minorHAnsi"/>
        <w:sz w:val="26"/>
        <w:szCs w:val="21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Calibri" w:cs="Helvetica" w:eastAsiaTheme="minorHAnsi"/>
      <w:color w:val="auto"/>
      <w:kern w:val="0"/>
      <w:sz w:val="26"/>
      <w:szCs w:val="21"/>
      <w:lang w:val="ru-RU" w:eastAsia="en-US" w:bidi="ar-SA"/>
    </w:rPr>
  </w:style>
  <w:style w:type="paragraph" w:styleId="Heading4">
    <w:name w:val="Heading 4"/>
    <w:basedOn w:val="Style13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ind w:hanging="0"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Application>LibreOffice/7.6.7.2$Linux_X86_64 LibreOffice_project/60$Build-2</Application>
  <AppVersion>15.0000</AppVersion>
  <Pages>1</Pages>
  <Words>183</Words>
  <Characters>1074</Characters>
  <CharactersWithSpaces>1191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2024-12-04T08:58:00Z</dcterms:created>
  <dc:creator>Осташова Мария Николаевна</dc:creator>
  <dc:description/>
  <dc:language>ru-RU</dc:language>
  <cp:lastModifiedBy/>
  <dcterms:modified xsi:type="dcterms:W3CDTF">2026-10-05T18:04:29Z</dcterms:modified>
  <cp:revision>138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