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left"/>
        <w:outlineLvl w:val="1"/>
        <w:rPr>
          <w:rFonts w:eastAsia="Times New Roman" w:cs="Times New Roman"/>
          <w:color w:val="333333"/>
          <w:sz w:val="41"/>
          <w:szCs w:val="45"/>
          <w:lang w:eastAsia="ru-RU"/>
        </w:rPr>
      </w:pPr>
      <w:r>
        <w:rPr>
          <w:rFonts w:eastAsia="Times New Roman" w:cs="Times New Roman"/>
          <w:color w:val="333333"/>
          <w:sz w:val="41"/>
          <w:szCs w:val="45"/>
          <w:lang w:eastAsia="ru-RU"/>
        </w:rPr>
        <w:t xml:space="preserve">Общий отчет о реализации закона Ненецкого автономного округа от 01.07.2011 № 36-оз «О дополнительных мерах государственной поддержки семей, имеющих детей» </w:t>
      </w:r>
    </w:p>
    <w:p>
      <w:pPr>
        <w:pStyle w:val="Normal"/>
        <w:numPr>
          <w:ilvl w:val="0"/>
          <w:numId w:val="0"/>
        </w:numPr>
        <w:ind w:hanging="0" w:left="0"/>
        <w:jc w:val="left"/>
        <w:outlineLvl w:val="1"/>
        <w:rPr>
          <w:rFonts w:eastAsia="Times New Roman" w:cs="Times New Roman"/>
          <w:color w:val="333333"/>
          <w:sz w:val="41"/>
          <w:szCs w:val="45"/>
          <w:lang w:eastAsia="ru-RU"/>
        </w:rPr>
      </w:pPr>
      <w:r>
        <w:rPr>
          <w:rFonts w:eastAsia="Times New Roman" w:cs="Times New Roman"/>
          <w:color w:val="333333"/>
          <w:sz w:val="41"/>
          <w:szCs w:val="45"/>
          <w:lang w:eastAsia="ru-RU"/>
        </w:rPr>
        <w:t>за период его действия</w:t>
      </w:r>
    </w:p>
    <w:p>
      <w:pPr>
        <w:pStyle w:val="Normal"/>
        <w:numPr>
          <w:ilvl w:val="0"/>
          <w:numId w:val="0"/>
        </w:numPr>
        <w:spacing w:before="150" w:after="150"/>
        <w:ind w:hanging="0" w:left="0"/>
        <w:jc w:val="left"/>
        <w:outlineLvl w:val="3"/>
        <w:rPr>
          <w:rFonts w:eastAsia="Times New Roman" w:cs="Times New Roman"/>
          <w:vanish/>
          <w:szCs w:val="26"/>
          <w:lang w:eastAsia="ru-RU"/>
        </w:rPr>
      </w:pPr>
      <w:r>
        <w:rPr>
          <w:rFonts w:eastAsia="Times New Roman" w:cs="Times New Roman"/>
          <w:vanish/>
          <w:szCs w:val="26"/>
          <w:lang w:eastAsia="ru-RU"/>
        </w:rPr>
      </w:r>
    </w:p>
    <w:p>
      <w:pPr>
        <w:pStyle w:val="Normal"/>
        <w:numPr>
          <w:ilvl w:val="0"/>
          <w:numId w:val="0"/>
        </w:numPr>
        <w:spacing w:before="150" w:after="150"/>
        <w:ind w:hanging="0" w:left="0"/>
        <w:jc w:val="left"/>
        <w:outlineLvl w:val="3"/>
        <w:rPr>
          <w:rFonts w:eastAsia="Times New Roman" w:cs="Times New Roman"/>
          <w:color w:val="333333"/>
          <w:szCs w:val="26"/>
          <w:lang w:eastAsia="ru-RU"/>
        </w:rPr>
      </w:pPr>
      <w:r>
        <w:rPr>
          <w:rFonts w:eastAsia="Times New Roman" w:cs="Times New Roman"/>
          <w:color w:val="333333"/>
          <w:szCs w:val="26"/>
          <w:lang w:eastAsia="ru-RU"/>
        </w:rPr>
        <w:t>Параметры отчета:</w:t>
      </w:r>
    </w:p>
    <w:p>
      <w:pPr>
        <w:pStyle w:val="Normal"/>
        <w:ind w:hanging="0"/>
        <w:jc w:val="left"/>
        <w:rPr>
          <w:rFonts w:eastAsia="Times New Roman" w:cs="Times New Roman"/>
          <w:color w:val="333333"/>
          <w:szCs w:val="26"/>
          <w:lang w:eastAsia="ru-RU"/>
        </w:rPr>
      </w:pPr>
      <w:r>
        <w:rPr>
          <w:rFonts w:eastAsia="Times New Roman" w:cs="Times New Roman"/>
          <w:b/>
          <w:bCs/>
          <w:color w:val="333333"/>
          <w:szCs w:val="26"/>
          <w:lang w:eastAsia="ru-RU"/>
        </w:rPr>
        <w:t xml:space="preserve">Дата начала: </w:t>
      </w:r>
      <w:r>
        <w:rPr>
          <w:rFonts w:eastAsia="Times New Roman" w:cs="Times New Roman"/>
          <w:color w:val="333333"/>
          <w:szCs w:val="26"/>
          <w:lang w:eastAsia="ru-RU"/>
        </w:rPr>
        <w:t>01.11.2011</w:t>
      </w:r>
    </w:p>
    <w:p>
      <w:pPr>
        <w:pStyle w:val="Normal"/>
        <w:ind w:hanging="0"/>
        <w:jc w:val="left"/>
        <w:rPr>
          <w:rFonts w:eastAsia="Times New Roman" w:cs="Times New Roman"/>
          <w:color w:val="333333"/>
          <w:szCs w:val="26"/>
          <w:lang w:eastAsia="ru-RU"/>
        </w:rPr>
      </w:pPr>
      <w:r>
        <w:rPr>
          <w:rFonts w:eastAsia="Times New Roman" w:cs="Times New Roman"/>
          <w:b/>
          <w:bCs/>
          <w:color w:val="333333"/>
          <w:szCs w:val="26"/>
          <w:lang w:eastAsia="ru-RU"/>
        </w:rPr>
        <w:t>Дата окончания:</w:t>
      </w:r>
      <w:r>
        <w:rPr>
          <w:rFonts w:eastAsia="Times New Roman" w:cs="Times New Roman"/>
          <w:bCs/>
          <w:color w:val="333333"/>
          <w:szCs w:val="26"/>
          <w:lang w:eastAsia="ru-RU"/>
        </w:rPr>
        <w:t xml:space="preserve"> 3</w:t>
      </w:r>
      <w:r>
        <w:rPr>
          <w:rFonts w:eastAsia="Times New Roman" w:cs="Times New Roman"/>
          <w:bCs/>
          <w:color w:val="333333"/>
          <w:szCs w:val="26"/>
          <w:lang w:eastAsia="ru-RU"/>
        </w:rPr>
        <w:t>0</w:t>
      </w:r>
      <w:r>
        <w:rPr>
          <w:rFonts w:eastAsia="Times New Roman" w:cs="Times New Roman"/>
          <w:bCs/>
          <w:color w:val="333333"/>
          <w:szCs w:val="26"/>
          <w:lang w:eastAsia="ru-RU"/>
        </w:rPr>
        <w:t>.0</w:t>
      </w:r>
      <w:r>
        <w:rPr>
          <w:rFonts w:eastAsia="Times New Roman" w:cs="Times New Roman"/>
          <w:bCs/>
          <w:color w:val="333333"/>
          <w:szCs w:val="26"/>
          <w:lang w:eastAsia="ru-RU"/>
        </w:rPr>
        <w:t>6</w:t>
      </w:r>
      <w:r>
        <w:rPr>
          <w:rFonts w:eastAsia="Times New Roman" w:cs="Times New Roman"/>
          <w:bCs/>
          <w:color w:val="333333"/>
          <w:szCs w:val="26"/>
          <w:lang w:eastAsia="ru-RU"/>
        </w:rPr>
        <w:t>.2026</w:t>
      </w:r>
    </w:p>
    <w:p>
      <w:pPr>
        <w:pStyle w:val="Heading4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Helvetica Neue;Helvetica;Arial;sans-serif" w:hAnsi="Helvetica Neue;Helvetica;Arial;sans-serif"/>
          <w:b w:val="false"/>
          <w:i w:val="false"/>
          <w:i w:val="false"/>
          <w:caps w:val="false"/>
          <w:smallCaps w:val="false"/>
          <w:color w:val="333333"/>
          <w:spacing w:val="0"/>
          <w:sz w:val="14"/>
          <w:szCs w:val="14"/>
        </w:rPr>
      </w:pPr>
      <w:r>
        <w:rPr>
          <w:rFonts w:ascii="Helvetica Neue;Helvetica;Arial;sans-serif" w:hAnsi="Helvetica Neue;Helvetica;Arial;sans-serif"/>
          <w:b w:val="false"/>
          <w:i w:val="false"/>
          <w:caps w:val="false"/>
          <w:smallCaps w:val="false"/>
          <w:color w:val="333333"/>
          <w:spacing w:val="0"/>
          <w:sz w:val="14"/>
          <w:szCs w:val="14"/>
        </w:rPr>
      </w:r>
    </w:p>
    <w:p>
      <w:pPr>
        <w:pStyle w:val="Heading4"/>
        <w:spacing w:lineRule="auto" w:line="240" w:before="0" w:after="0"/>
        <w:ind w:hanging="0"/>
        <w:jc w:val="left"/>
        <w:rPr>
          <w:rFonts w:ascii="Helvetica Neue;Helvetica;Arial;sans-serif" w:hAnsi="Helvetica Neue;Helvetica;Arial;sans-serif"/>
          <w:b w:val="false"/>
          <w:bCs/>
          <w:i w:val="false"/>
          <w:i w:val="false"/>
          <w:caps w:val="false"/>
          <w:smallCaps w:val="false"/>
          <w:color w:val="333333"/>
          <w:spacing w:val="0"/>
          <w:sz w:val="27"/>
        </w:rPr>
      </w:pPr>
      <w:r>
        <w:rPr>
          <w:rFonts w:ascii="Helvetica Neue;Helvetica;Arial;sans-serif" w:hAnsi="Helvetica Neue;Helvetica;Arial;sans-serif"/>
          <w:b/>
          <w:bCs/>
          <w:i w:val="false"/>
          <w:caps w:val="false"/>
          <w:smallCaps w:val="false"/>
          <w:color w:val="333333"/>
          <w:spacing w:val="0"/>
          <w:sz w:val="27"/>
        </w:rPr>
        <w:t>Выданные сертификаты за период</w:t>
      </w:r>
    </w:p>
    <w:tbl>
      <w:tblPr>
        <w:tblW w:w="10645" w:type="dxa"/>
        <w:jc w:val="left"/>
        <w:tblInd w:w="0" w:type="dxa"/>
        <w:shd w:fill="FFFFFF" w:val="clear"/>
        <w:tblLayout w:type="fixed"/>
        <w:tblCellMar>
          <w:top w:w="120" w:type="dxa"/>
          <w:left w:w="0" w:type="dxa"/>
          <w:bottom w:w="0" w:type="dxa"/>
          <w:right w:w="0" w:type="dxa"/>
        </w:tblCellMar>
      </w:tblPr>
      <w:tblGrid>
        <w:gridCol w:w="1861"/>
        <w:gridCol w:w="1496"/>
        <w:gridCol w:w="1848"/>
        <w:gridCol w:w="1920"/>
        <w:gridCol w:w="1770"/>
        <w:gridCol w:w="1750"/>
      </w:tblGrid>
      <w:tr>
        <w:trPr/>
        <w:tc>
          <w:tcPr>
            <w:tcW w:w="1861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6"/>
              <w:spacing w:lineRule="auto" w:line="240"/>
              <w:ind w:hanging="0" w:left="0" w:right="0"/>
              <w:jc w:val="center"/>
              <w:rPr/>
            </w:pPr>
            <w:r>
              <w:rPr/>
              <w:t>Наименование показателя</w:t>
            </w:r>
          </w:p>
        </w:tc>
        <w:tc>
          <w:tcPr>
            <w:tcW w:w="1496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6"/>
              <w:spacing w:lineRule="auto" w:line="240"/>
              <w:ind w:hanging="0" w:left="0" w:right="0"/>
              <w:jc w:val="center"/>
              <w:rPr/>
            </w:pPr>
            <w:r>
              <w:rPr/>
              <w:t>Количество</w:t>
            </w:r>
          </w:p>
        </w:tc>
        <w:tc>
          <w:tcPr>
            <w:tcW w:w="1848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6"/>
              <w:spacing w:lineRule="auto" w:line="240"/>
              <w:ind w:hanging="0" w:left="0" w:right="0"/>
              <w:jc w:val="center"/>
              <w:rPr/>
            </w:pPr>
            <w:r>
              <w:rPr/>
              <w:t>Сумма</w:t>
            </w:r>
          </w:p>
        </w:tc>
        <w:tc>
          <w:tcPr>
            <w:tcW w:w="192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6"/>
              <w:spacing w:lineRule="auto" w:line="240"/>
              <w:ind w:hanging="0" w:left="0" w:right="0"/>
              <w:jc w:val="center"/>
              <w:rPr/>
            </w:pPr>
            <w:r>
              <w:rPr/>
              <w:t>Сумма с индексацией</w:t>
            </w:r>
          </w:p>
        </w:tc>
        <w:tc>
          <w:tcPr>
            <w:tcW w:w="177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6"/>
              <w:spacing w:lineRule="auto" w:line="240"/>
              <w:ind w:hanging="0" w:left="0" w:right="0"/>
              <w:jc w:val="center"/>
              <w:rPr/>
            </w:pPr>
            <w:r>
              <w:rPr/>
              <w:t>Расход</w:t>
            </w:r>
          </w:p>
        </w:tc>
        <w:tc>
          <w:tcPr>
            <w:tcW w:w="175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6"/>
              <w:spacing w:lineRule="auto" w:line="240"/>
              <w:ind w:hanging="0" w:left="0" w:right="0"/>
              <w:jc w:val="center"/>
              <w:rPr/>
            </w:pPr>
            <w:r>
              <w:rPr/>
              <w:t>Остаток</w:t>
            </w:r>
          </w:p>
        </w:tc>
      </w:tr>
      <w:tr>
        <w:trPr/>
        <w:tc>
          <w:tcPr>
            <w:tcW w:w="1861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widowControl w:val="false"/>
              <w:suppressLineNumbers/>
              <w:suppressAutoHyphens w:val="true"/>
              <w:bidi w:val="0"/>
              <w:spacing w:lineRule="auto" w:line="240" w:before="0" w:after="0"/>
              <w:ind w:hanging="0" w:left="170" w:right="0"/>
              <w:jc w:val="both"/>
              <w:rPr/>
            </w:pPr>
            <w:r>
              <w:rPr/>
              <w:t>Все сертификаты</w:t>
            </w:r>
          </w:p>
        </w:tc>
        <w:tc>
          <w:tcPr>
            <w:tcW w:w="1496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/>
            </w:pPr>
            <w:r>
              <w:rPr/>
              <w:t>2 803</w:t>
            </w:r>
          </w:p>
        </w:tc>
        <w:tc>
          <w:tcPr>
            <w:tcW w:w="1848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/>
            </w:pPr>
            <w:r>
              <w:rPr/>
              <w:t>994 566 461,70</w:t>
            </w:r>
          </w:p>
        </w:tc>
        <w:tc>
          <w:tcPr>
            <w:tcW w:w="192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/>
            </w:pPr>
            <w:r>
              <w:rPr/>
              <w:t>1 033 902 274,38</w:t>
            </w:r>
          </w:p>
        </w:tc>
        <w:tc>
          <w:tcPr>
            <w:tcW w:w="177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/>
            </w:pPr>
            <w:r>
              <w:rPr/>
              <w:t>761 733 900,07</w:t>
            </w:r>
          </w:p>
        </w:tc>
        <w:tc>
          <w:tcPr>
            <w:tcW w:w="175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/>
            </w:pPr>
            <w:r>
              <w:rPr/>
              <w:t>272 168 374,31</w:t>
            </w:r>
          </w:p>
        </w:tc>
      </w:tr>
      <w:tr>
        <w:trPr/>
        <w:tc>
          <w:tcPr>
            <w:tcW w:w="1861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widowControl w:val="false"/>
              <w:suppressLineNumbers/>
              <w:suppressAutoHyphens w:val="true"/>
              <w:bidi w:val="0"/>
              <w:spacing w:lineRule="auto" w:line="240" w:before="0" w:after="0"/>
              <w:ind w:hanging="0" w:left="170" w:right="0"/>
              <w:jc w:val="both"/>
              <w:rPr/>
            </w:pPr>
            <w:r>
              <w:rPr/>
              <w:t>Полностью закрытые сертификаты</w:t>
            </w:r>
          </w:p>
        </w:tc>
        <w:tc>
          <w:tcPr>
            <w:tcW w:w="1496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/>
            </w:pPr>
            <w:r>
              <w:rPr/>
              <w:t>1 655</w:t>
            </w:r>
          </w:p>
        </w:tc>
        <w:tc>
          <w:tcPr>
            <w:tcW w:w="1848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/>
            </w:pPr>
            <w:r>
              <w:rPr/>
              <w:t>578 439 102,08</w:t>
            </w:r>
          </w:p>
        </w:tc>
        <w:tc>
          <w:tcPr>
            <w:tcW w:w="192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/>
            </w:pPr>
            <w:r>
              <w:rPr/>
              <w:t>598 534 289,76</w:t>
            </w:r>
          </w:p>
        </w:tc>
        <w:tc>
          <w:tcPr>
            <w:tcW w:w="177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/>
            </w:pPr>
            <w:r>
              <w:rPr/>
              <w:t>598 534 289,76</w:t>
            </w:r>
          </w:p>
        </w:tc>
        <w:tc>
          <w:tcPr>
            <w:tcW w:w="175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/>
            </w:pPr>
            <w:r>
              <w:rPr/>
              <w:t>0,00</w:t>
            </w:r>
          </w:p>
        </w:tc>
      </w:tr>
      <w:tr>
        <w:trPr/>
        <w:tc>
          <w:tcPr>
            <w:tcW w:w="1861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widowControl w:val="false"/>
              <w:suppressLineNumbers/>
              <w:suppressAutoHyphens w:val="true"/>
              <w:bidi w:val="0"/>
              <w:spacing w:lineRule="auto" w:line="240" w:before="0" w:after="0"/>
              <w:ind w:hanging="0" w:left="170" w:right="0"/>
              <w:jc w:val="both"/>
              <w:rPr/>
            </w:pPr>
            <w:r>
              <w:rPr/>
              <w:t>Частично закрытые сертификаты</w:t>
            </w:r>
          </w:p>
        </w:tc>
        <w:tc>
          <w:tcPr>
            <w:tcW w:w="1496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/>
            </w:pPr>
            <w:r>
              <w:rPr/>
              <w:t>642</w:t>
            </w:r>
          </w:p>
        </w:tc>
        <w:tc>
          <w:tcPr>
            <w:tcW w:w="1848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/>
            </w:pPr>
            <w:r>
              <w:rPr/>
              <w:t>234 561 100,38</w:t>
            </w:r>
          </w:p>
        </w:tc>
        <w:tc>
          <w:tcPr>
            <w:tcW w:w="192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/>
            </w:pPr>
            <w:r>
              <w:rPr/>
              <w:t>246 006 166,96</w:t>
            </w:r>
          </w:p>
        </w:tc>
        <w:tc>
          <w:tcPr>
            <w:tcW w:w="177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/>
            </w:pPr>
            <w:r>
              <w:rPr/>
              <w:t>163 199 610,31</w:t>
            </w:r>
          </w:p>
        </w:tc>
        <w:tc>
          <w:tcPr>
            <w:tcW w:w="175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/>
            </w:pPr>
            <w:r>
              <w:rPr/>
              <w:t>82 806 556,65</w:t>
            </w:r>
          </w:p>
        </w:tc>
      </w:tr>
      <w:tr>
        <w:trPr/>
        <w:tc>
          <w:tcPr>
            <w:tcW w:w="1861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widowControl w:val="false"/>
              <w:suppressLineNumbers/>
              <w:suppressAutoHyphens w:val="true"/>
              <w:bidi w:val="0"/>
              <w:spacing w:lineRule="auto" w:line="240" w:before="0" w:after="0"/>
              <w:ind w:hanging="0" w:left="170" w:right="0"/>
              <w:jc w:val="both"/>
              <w:rPr/>
            </w:pPr>
            <w:r>
              <w:rPr/>
              <w:t>Полностью открытые сертификаты</w:t>
            </w:r>
          </w:p>
        </w:tc>
        <w:tc>
          <w:tcPr>
            <w:tcW w:w="1496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/>
            </w:pPr>
            <w:r>
              <w:rPr/>
              <w:t>506</w:t>
            </w:r>
          </w:p>
        </w:tc>
        <w:tc>
          <w:tcPr>
            <w:tcW w:w="1848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/>
            </w:pPr>
            <w:r>
              <w:rPr/>
              <w:t>181 566 259,24</w:t>
            </w:r>
          </w:p>
        </w:tc>
        <w:tc>
          <w:tcPr>
            <w:tcW w:w="192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/>
            </w:pPr>
            <w:r>
              <w:rPr/>
              <w:t>189 361 817,66</w:t>
            </w:r>
          </w:p>
        </w:tc>
        <w:tc>
          <w:tcPr>
            <w:tcW w:w="177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/>
            </w:pPr>
            <w:r>
              <w:rPr/>
              <w:t>0</w:t>
            </w:r>
          </w:p>
        </w:tc>
        <w:tc>
          <w:tcPr>
            <w:tcW w:w="175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40"/>
              <w:ind w:hanging="0"/>
              <w:jc w:val="center"/>
              <w:rPr/>
            </w:pPr>
            <w:r>
              <w:rPr/>
              <w:t>189 361 817,66</w:t>
            </w:r>
          </w:p>
        </w:tc>
      </w:tr>
    </w:tbl>
    <w:p>
      <w:pPr>
        <w:pStyle w:val="BodyText"/>
        <w:spacing w:lineRule="auto" w:line="240" w:before="0" w:after="0"/>
        <w:ind w:hanging="0"/>
        <w:jc w:val="left"/>
        <w:rPr>
          <w:rFonts w:ascii="Helvetica Neue;Helvetica;Arial;sans-serif" w:hAnsi="Helvetica Neue;Helvetica;Arial;sans-serif"/>
          <w:b/>
          <w:bCs/>
          <w:i w:val="false"/>
          <w:i w:val="false"/>
          <w:caps w:val="false"/>
          <w:smallCaps w:val="false"/>
          <w:color w:val="333333"/>
          <w:spacing w:val="0"/>
          <w:sz w:val="27"/>
        </w:rPr>
      </w:pPr>
      <w:r>
        <w:rPr>
          <w:rFonts w:ascii="Helvetica Neue;Helvetica;Arial;sans-serif" w:hAnsi="Helvetica Neue;Helvetica;Arial;sans-serif"/>
          <w:b/>
          <w:bCs/>
          <w:i w:val="false"/>
          <w:caps w:val="false"/>
          <w:smallCaps w:val="false"/>
          <w:color w:val="333333"/>
          <w:spacing w:val="0"/>
          <w:sz w:val="27"/>
        </w:rPr>
      </w:r>
    </w:p>
    <w:p>
      <w:pPr>
        <w:pStyle w:val="Heading4"/>
        <w:spacing w:lineRule="auto" w:line="276" w:before="0" w:after="0"/>
        <w:ind w:hanging="0"/>
        <w:jc w:val="left"/>
        <w:rPr>
          <w:rFonts w:ascii="Helvetica Neue;Helvetica;Arial;sans-serif" w:hAnsi="Helvetica Neue;Helvetica;Arial;sans-serif"/>
          <w:b/>
          <w:bCs/>
          <w:i w:val="false"/>
          <w:i w:val="false"/>
          <w:caps w:val="false"/>
          <w:smallCaps w:val="false"/>
          <w:color w:val="333333"/>
          <w:spacing w:val="0"/>
          <w:sz w:val="27"/>
        </w:rPr>
      </w:pPr>
      <w:r>
        <w:rPr>
          <w:rFonts w:ascii="Helvetica Neue;Helvetica;Arial;sans-serif" w:hAnsi="Helvetica Neue;Helvetica;Arial;sans-serif"/>
          <w:b/>
          <w:bCs/>
          <w:i w:val="false"/>
          <w:caps w:val="false"/>
          <w:smallCaps w:val="false"/>
          <w:color w:val="333333"/>
          <w:spacing w:val="0"/>
          <w:sz w:val="27"/>
        </w:rPr>
        <w:t>Распоряжение материнским капиталом за период</w:t>
      </w:r>
    </w:p>
    <w:tbl>
      <w:tblPr>
        <w:tblW w:w="10466" w:type="dxa"/>
        <w:jc w:val="left"/>
        <w:tblInd w:w="0" w:type="dxa"/>
        <w:shd w:fill="FFFFFF" w:val="clear"/>
        <w:tblLayout w:type="fixed"/>
        <w:tblCellMar>
          <w:top w:w="120" w:type="dxa"/>
          <w:left w:w="0" w:type="dxa"/>
          <w:bottom w:w="0" w:type="dxa"/>
          <w:right w:w="0" w:type="dxa"/>
        </w:tblCellMar>
      </w:tblPr>
      <w:tblGrid>
        <w:gridCol w:w="6240"/>
        <w:gridCol w:w="2001"/>
        <w:gridCol w:w="2225"/>
      </w:tblGrid>
      <w:tr>
        <w:trPr/>
        <w:tc>
          <w:tcPr>
            <w:tcW w:w="624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6"/>
              <w:spacing w:lineRule="auto" w:line="340"/>
              <w:ind w:hanging="0" w:left="0" w:right="0"/>
              <w:jc w:val="center"/>
              <w:rPr/>
            </w:pPr>
            <w:r>
              <w:rPr/>
              <w:t>Наименование показателя</w:t>
            </w:r>
          </w:p>
        </w:tc>
        <w:tc>
          <w:tcPr>
            <w:tcW w:w="2001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6"/>
              <w:spacing w:lineRule="auto" w:line="340"/>
              <w:ind w:hanging="0" w:left="0" w:right="0"/>
              <w:jc w:val="center"/>
              <w:rPr/>
            </w:pPr>
            <w:r>
              <w:rPr/>
              <w:t>Распоряжений</w:t>
            </w:r>
          </w:p>
        </w:tc>
        <w:tc>
          <w:tcPr>
            <w:tcW w:w="2225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6"/>
              <w:spacing w:lineRule="auto" w:line="340"/>
              <w:ind w:hanging="0" w:left="0" w:right="0"/>
              <w:jc w:val="center"/>
              <w:rPr/>
            </w:pPr>
            <w:r>
              <w:rPr/>
              <w:t>Сумма</w:t>
            </w:r>
          </w:p>
        </w:tc>
      </w:tr>
      <w:tr>
        <w:trPr/>
        <w:tc>
          <w:tcPr>
            <w:tcW w:w="624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widowControl w:val="false"/>
              <w:suppressLineNumbers/>
              <w:suppressAutoHyphens w:val="true"/>
              <w:bidi w:val="0"/>
              <w:spacing w:lineRule="auto" w:line="340" w:before="0" w:after="0"/>
              <w:ind w:hanging="0" w:left="227" w:right="0"/>
              <w:jc w:val="left"/>
              <w:rPr/>
            </w:pPr>
            <w:r>
              <w:rPr/>
              <w:t>Улучшение жилищных условий</w:t>
            </w:r>
          </w:p>
        </w:tc>
        <w:tc>
          <w:tcPr>
            <w:tcW w:w="2001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340"/>
              <w:ind w:hanging="0" w:left="0" w:right="0"/>
              <w:jc w:val="center"/>
              <w:rPr/>
            </w:pPr>
            <w:r>
              <w:rPr/>
              <w:t>904</w:t>
            </w:r>
          </w:p>
        </w:tc>
        <w:tc>
          <w:tcPr>
            <w:tcW w:w="2225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340"/>
              <w:ind w:hanging="0" w:left="0" w:right="0"/>
              <w:jc w:val="center"/>
              <w:rPr/>
            </w:pPr>
            <w:r>
              <w:rPr/>
              <w:t>235 081 272,67</w:t>
            </w:r>
          </w:p>
        </w:tc>
      </w:tr>
      <w:tr>
        <w:trPr/>
        <w:tc>
          <w:tcPr>
            <w:tcW w:w="624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widowControl w:val="false"/>
              <w:suppressLineNumbers/>
              <w:suppressAutoHyphens w:val="true"/>
              <w:bidi w:val="0"/>
              <w:spacing w:lineRule="auto" w:line="340" w:before="0" w:after="0"/>
              <w:ind w:hanging="0" w:left="227" w:right="0"/>
              <w:jc w:val="left"/>
              <w:rPr/>
            </w:pPr>
            <w:r>
              <w:rPr/>
              <w:t>Получение образования</w:t>
            </w:r>
          </w:p>
        </w:tc>
        <w:tc>
          <w:tcPr>
            <w:tcW w:w="2001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340"/>
              <w:ind w:hanging="0" w:left="0" w:right="0"/>
              <w:jc w:val="center"/>
              <w:rPr/>
            </w:pPr>
            <w:r>
              <w:rPr/>
              <w:t>111</w:t>
            </w:r>
          </w:p>
        </w:tc>
        <w:tc>
          <w:tcPr>
            <w:tcW w:w="2225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340"/>
              <w:ind w:hanging="0" w:left="0" w:right="0"/>
              <w:jc w:val="center"/>
              <w:rPr/>
            </w:pPr>
            <w:r>
              <w:rPr/>
              <w:t>7 340 166,45</w:t>
            </w:r>
          </w:p>
        </w:tc>
      </w:tr>
      <w:tr>
        <w:trPr/>
        <w:tc>
          <w:tcPr>
            <w:tcW w:w="624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widowControl w:val="false"/>
              <w:suppressLineNumbers/>
              <w:suppressAutoHyphens w:val="true"/>
              <w:bidi w:val="0"/>
              <w:spacing w:lineRule="auto" w:line="340" w:before="0" w:after="0"/>
              <w:ind w:hanging="0" w:left="227" w:right="0"/>
              <w:jc w:val="left"/>
              <w:rPr/>
            </w:pPr>
            <w:r>
              <w:rPr/>
              <w:t>Получение медицинской помощи</w:t>
            </w:r>
          </w:p>
        </w:tc>
        <w:tc>
          <w:tcPr>
            <w:tcW w:w="2001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340"/>
              <w:ind w:hanging="0" w:left="0" w:right="0"/>
              <w:jc w:val="center"/>
              <w:rPr/>
            </w:pPr>
            <w:r>
              <w:rPr/>
              <w:t>9</w:t>
            </w:r>
          </w:p>
        </w:tc>
        <w:tc>
          <w:tcPr>
            <w:tcW w:w="2225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340"/>
              <w:ind w:hanging="0" w:left="0" w:right="0"/>
              <w:jc w:val="center"/>
              <w:rPr/>
            </w:pPr>
            <w:r>
              <w:rPr/>
              <w:t>730 768,30</w:t>
            </w:r>
          </w:p>
        </w:tc>
      </w:tr>
      <w:tr>
        <w:trPr/>
        <w:tc>
          <w:tcPr>
            <w:tcW w:w="624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widowControl w:val="false"/>
              <w:suppressLineNumbers/>
              <w:suppressAutoHyphens w:val="true"/>
              <w:bidi w:val="0"/>
              <w:spacing w:lineRule="auto" w:line="340" w:before="0" w:after="0"/>
              <w:ind w:hanging="0" w:left="227" w:right="0"/>
              <w:jc w:val="left"/>
              <w:rPr/>
            </w:pPr>
            <w:r>
              <w:rPr/>
              <w:t>Возмещение расходов на приобретение товаров длительного пользования</w:t>
            </w:r>
          </w:p>
        </w:tc>
        <w:tc>
          <w:tcPr>
            <w:tcW w:w="2001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340"/>
              <w:ind w:hanging="0" w:left="0" w:right="0"/>
              <w:jc w:val="center"/>
              <w:rPr/>
            </w:pPr>
            <w:r>
              <w:rPr/>
              <w:t>1 951</w:t>
            </w:r>
          </w:p>
        </w:tc>
        <w:tc>
          <w:tcPr>
            <w:tcW w:w="2225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340"/>
              <w:ind w:hanging="0" w:left="0" w:right="0"/>
              <w:jc w:val="center"/>
              <w:rPr/>
            </w:pPr>
            <w:r>
              <w:rPr/>
              <w:t>179 965 909,45</w:t>
            </w:r>
          </w:p>
        </w:tc>
      </w:tr>
      <w:tr>
        <w:trPr/>
        <w:tc>
          <w:tcPr>
            <w:tcW w:w="624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widowControl w:val="false"/>
              <w:suppressLineNumbers/>
              <w:suppressAutoHyphens w:val="true"/>
              <w:bidi w:val="0"/>
              <w:spacing w:lineRule="auto" w:line="340" w:before="0" w:after="0"/>
              <w:ind w:hanging="0" w:left="227" w:right="0"/>
              <w:jc w:val="left"/>
              <w:rPr/>
            </w:pPr>
            <w:r>
              <w:rPr/>
              <w:t>Приобретение транспортного средства</w:t>
            </w:r>
          </w:p>
        </w:tc>
        <w:tc>
          <w:tcPr>
            <w:tcW w:w="2001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340"/>
              <w:ind w:hanging="0" w:left="0" w:right="0"/>
              <w:jc w:val="center"/>
              <w:rPr/>
            </w:pPr>
            <w:r>
              <w:rPr/>
              <w:t>854</w:t>
            </w:r>
          </w:p>
        </w:tc>
        <w:tc>
          <w:tcPr>
            <w:tcW w:w="2225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340"/>
              <w:ind w:hanging="0" w:left="0" w:right="0"/>
              <w:jc w:val="center"/>
              <w:rPr/>
            </w:pPr>
            <w:r>
              <w:rPr/>
              <w:t>281 392 656,17</w:t>
            </w:r>
          </w:p>
        </w:tc>
      </w:tr>
      <w:tr>
        <w:trPr/>
        <w:tc>
          <w:tcPr>
            <w:tcW w:w="624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widowControl w:val="false"/>
              <w:suppressLineNumbers/>
              <w:suppressAutoHyphens w:val="true"/>
              <w:bidi w:val="0"/>
              <w:spacing w:lineRule="auto" w:line="340" w:before="0" w:after="0"/>
              <w:ind w:hanging="0" w:left="227" w:right="0"/>
              <w:jc w:val="left"/>
              <w:rPr/>
            </w:pPr>
            <w:r>
              <w:rPr/>
              <w:t>Развитие личного подсобного хозяйства</w:t>
            </w:r>
          </w:p>
        </w:tc>
        <w:tc>
          <w:tcPr>
            <w:tcW w:w="2001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340"/>
              <w:ind w:hanging="0" w:left="0" w:right="0"/>
              <w:jc w:val="center"/>
              <w:rPr/>
            </w:pPr>
            <w:r>
              <w:rPr/>
              <w:t>1</w:t>
            </w:r>
          </w:p>
        </w:tc>
        <w:tc>
          <w:tcPr>
            <w:tcW w:w="2225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340"/>
              <w:ind w:hanging="0" w:left="0" w:right="0"/>
              <w:jc w:val="center"/>
              <w:rPr/>
            </w:pPr>
            <w:r>
              <w:rPr/>
              <w:t>60 000,00</w:t>
            </w:r>
          </w:p>
        </w:tc>
      </w:tr>
      <w:tr>
        <w:trPr/>
        <w:tc>
          <w:tcPr>
            <w:tcW w:w="624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widowControl w:val="false"/>
              <w:suppressLineNumbers/>
              <w:suppressAutoHyphens w:val="true"/>
              <w:bidi w:val="0"/>
              <w:spacing w:lineRule="auto" w:line="340" w:before="0" w:after="0"/>
              <w:ind w:hanging="0" w:left="227" w:right="0"/>
              <w:jc w:val="left"/>
              <w:rPr/>
            </w:pPr>
            <w:r>
              <w:rPr/>
              <w:t>Приобретение (строительство) гаража</w:t>
            </w:r>
          </w:p>
        </w:tc>
        <w:tc>
          <w:tcPr>
            <w:tcW w:w="2001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340"/>
              <w:ind w:hanging="0" w:left="0" w:right="0"/>
              <w:jc w:val="center"/>
              <w:rPr/>
            </w:pPr>
            <w:r>
              <w:rPr/>
              <w:t>67</w:t>
            </w:r>
          </w:p>
        </w:tc>
        <w:tc>
          <w:tcPr>
            <w:tcW w:w="2225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340"/>
              <w:ind w:hanging="0" w:left="0" w:right="0"/>
              <w:jc w:val="center"/>
              <w:rPr/>
            </w:pPr>
            <w:r>
              <w:rPr/>
              <w:t>22 767 925,18</w:t>
            </w:r>
          </w:p>
        </w:tc>
      </w:tr>
      <w:tr>
        <w:trPr/>
        <w:tc>
          <w:tcPr>
            <w:tcW w:w="624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widowControl w:val="false"/>
              <w:suppressLineNumbers/>
              <w:suppressAutoHyphens w:val="true"/>
              <w:bidi w:val="0"/>
              <w:spacing w:lineRule="auto" w:line="340" w:before="0" w:after="0"/>
              <w:ind w:hanging="0" w:left="227" w:right="0"/>
              <w:jc w:val="left"/>
              <w:rPr/>
            </w:pPr>
            <w:r>
              <w:rPr/>
              <w:t>Приобретение (строительство) бани</w:t>
            </w:r>
          </w:p>
        </w:tc>
        <w:tc>
          <w:tcPr>
            <w:tcW w:w="2001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340"/>
              <w:ind w:hanging="0" w:left="0" w:right="0"/>
              <w:jc w:val="center"/>
              <w:rPr/>
            </w:pPr>
            <w:r>
              <w:rPr/>
              <w:t>10</w:t>
            </w:r>
          </w:p>
        </w:tc>
        <w:tc>
          <w:tcPr>
            <w:tcW w:w="2225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340"/>
              <w:ind w:hanging="0" w:left="0" w:right="0"/>
              <w:jc w:val="center"/>
              <w:rPr/>
            </w:pPr>
            <w:r>
              <w:rPr/>
              <w:t>2 675 023,00</w:t>
            </w:r>
          </w:p>
        </w:tc>
      </w:tr>
      <w:tr>
        <w:trPr/>
        <w:tc>
          <w:tcPr>
            <w:tcW w:w="6240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widowControl w:val="false"/>
              <w:suppressLineNumbers/>
              <w:suppressAutoHyphens w:val="true"/>
              <w:bidi w:val="0"/>
              <w:spacing w:lineRule="auto" w:line="340" w:before="0" w:after="0"/>
              <w:ind w:hanging="0" w:left="227" w:right="0"/>
              <w:jc w:val="left"/>
              <w:rPr/>
            </w:pPr>
            <w:r>
              <w:rPr/>
              <w:t>Единовременная выплата</w:t>
            </w:r>
          </w:p>
        </w:tc>
        <w:tc>
          <w:tcPr>
            <w:tcW w:w="2001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340"/>
              <w:ind w:hanging="0" w:left="0" w:right="0"/>
              <w:jc w:val="center"/>
              <w:rPr/>
            </w:pPr>
            <w:r>
              <w:rPr/>
              <w:t>1 287</w:t>
            </w:r>
          </w:p>
        </w:tc>
        <w:tc>
          <w:tcPr>
            <w:tcW w:w="2225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widowControl w:val="false"/>
              <w:suppressLineNumbers/>
              <w:suppressAutoHyphens w:val="true"/>
              <w:bidi w:val="0"/>
              <w:spacing w:lineRule="auto" w:line="340" w:before="0" w:after="0"/>
              <w:ind w:hanging="0" w:left="0" w:right="0"/>
              <w:jc w:val="center"/>
              <w:rPr/>
            </w:pPr>
            <w:r>
              <w:rPr/>
              <w:t>29 721 002,35</w:t>
            </w:r>
          </w:p>
        </w:tc>
      </w:tr>
    </w:tbl>
    <w:p>
      <w:pPr>
        <w:pStyle w:val="BodyText"/>
        <w:spacing w:lineRule="auto" w:line="276" w:before="0" w:after="0"/>
        <w:ind w:hanging="0"/>
        <w:jc w:val="left"/>
        <w:rPr>
          <w:rFonts w:ascii="Helvetica Neue;Helvetica;Arial;sans-serif" w:hAnsi="Helvetica Neue;Helvetica;Arial;sans-serif"/>
          <w:b w:val="false"/>
          <w:i w:val="false"/>
          <w:i w:val="false"/>
          <w:caps w:val="false"/>
          <w:smallCaps w:val="false"/>
          <w:color w:val="333333"/>
          <w:spacing w:val="0"/>
          <w:sz w:val="27"/>
        </w:rPr>
      </w:pPr>
      <w:r>
        <w:rPr>
          <w:rFonts w:ascii="Helvetica Neue;Helvetica;Arial;sans-serif" w:hAnsi="Helvetica Neue;Helvetica;Arial;sans-serif"/>
          <w:b/>
          <w:bCs/>
          <w:i w:val="false"/>
          <w:iCs w:val="false"/>
          <w:caps w:val="false"/>
          <w:smallCaps w:val="false"/>
          <w:color w:val="333333"/>
          <w:spacing w:val="0"/>
          <w:sz w:val="27"/>
        </w:rPr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Helvetica Neue">
    <w:altName w:val="Helvetica"/>
    <w:charset w:val="01"/>
    <w:family w:val="roman"/>
    <w:pitch w:val="default"/>
  </w:font>
  <w:font w:name="Helvetica Neue">
    <w:altName w:val="Helvetica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Адреса1.dbo.Лист1$"/>
  </w:mailMerge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Helvetica" w:eastAsiaTheme="minorHAnsi"/>
        <w:sz w:val="26"/>
        <w:szCs w:val="21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Calibri" w:cs="Helvetica" w:eastAsiaTheme="minorHAnsi"/>
      <w:color w:val="auto"/>
      <w:kern w:val="0"/>
      <w:sz w:val="26"/>
      <w:szCs w:val="21"/>
      <w:lang w:val="ru-RU" w:eastAsia="en-US" w:bidi="ar-SA"/>
    </w:rPr>
  </w:style>
  <w:style w:type="paragraph" w:styleId="Heading4">
    <w:name w:val="Heading 4"/>
    <w:basedOn w:val="Style13"/>
    <w:next w:val="BodyText"/>
    <w:qFormat/>
    <w:pPr>
      <w:spacing w:before="120" w:after="120"/>
      <w:outlineLvl w:val="3"/>
    </w:pPr>
    <w:rPr>
      <w:rFonts w:ascii="Liberation Serif" w:hAnsi="Liberation Serif" w:eastAsia="Tahoma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ind w:hanging="0"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Application>LibreOffice/7.6.7.2$Linux_X86_64 LibreOffice_project/60$Build-2</Application>
  <AppVersion>15.0000</AppVersion>
  <Pages>1</Pages>
  <Words>182</Words>
  <Characters>1073</Characters>
  <CharactersWithSpaces>1189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2024-12-04T08:58:00Z</dcterms:created>
  <dc:creator>Осташова Мария Николаевна</dc:creator>
  <dc:description/>
  <dc:language>ru-RU</dc:language>
  <cp:lastModifiedBy/>
  <dcterms:modified xsi:type="dcterms:W3CDTF">2026-07-10T16:10:19Z</dcterms:modified>
  <cp:revision>130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